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36" w:rsidRPr="00832A36" w:rsidRDefault="00832A36" w:rsidP="00CD456C">
      <w:pPr>
        <w:autoSpaceDE w:val="0"/>
        <w:autoSpaceDN w:val="0"/>
        <w:adjustRightInd w:val="0"/>
        <w:spacing w:after="0" w:line="240" w:lineRule="auto"/>
        <w:ind w:firstLine="709"/>
        <w:jc w:val="center"/>
        <w:rPr>
          <w:rFonts w:ascii="Times New Roman" w:hAnsi="Times New Roman" w:cs="Times New Roman"/>
          <w:sz w:val="28"/>
          <w:szCs w:val="28"/>
        </w:rPr>
      </w:pPr>
      <w:r w:rsidRPr="00832A36">
        <w:rPr>
          <w:rFonts w:ascii="Times New Roman" w:hAnsi="Times New Roman" w:cs="Times New Roman"/>
          <w:sz w:val="28"/>
          <w:szCs w:val="28"/>
        </w:rPr>
        <w:t>Правил</w:t>
      </w:r>
      <w:r w:rsidR="00E443A3">
        <w:rPr>
          <w:rFonts w:ascii="Times New Roman" w:hAnsi="Times New Roman" w:cs="Times New Roman"/>
          <w:sz w:val="28"/>
          <w:szCs w:val="28"/>
        </w:rPr>
        <w:t>а</w:t>
      </w:r>
      <w:r w:rsidRPr="00832A36">
        <w:rPr>
          <w:rFonts w:ascii="Times New Roman" w:hAnsi="Times New Roman" w:cs="Times New Roman"/>
          <w:sz w:val="28"/>
          <w:szCs w:val="28"/>
        </w:rPr>
        <w:t xml:space="preserve"> прийому </w:t>
      </w:r>
      <w:bookmarkStart w:id="0" w:name="_GoBack"/>
      <w:bookmarkEnd w:id="0"/>
      <w:r w:rsidRPr="00832A36">
        <w:rPr>
          <w:rFonts w:ascii="Times New Roman" w:hAnsi="Times New Roman" w:cs="Times New Roman"/>
          <w:sz w:val="28"/>
          <w:szCs w:val="28"/>
        </w:rPr>
        <w:t>на навчання до Уманського НУС в 202</w:t>
      </w:r>
      <w:r w:rsidR="00C00538">
        <w:rPr>
          <w:rFonts w:ascii="Times New Roman" w:hAnsi="Times New Roman" w:cs="Times New Roman"/>
          <w:sz w:val="28"/>
          <w:szCs w:val="28"/>
        </w:rPr>
        <w:t>2</w:t>
      </w:r>
      <w:r w:rsidRPr="00832A36">
        <w:rPr>
          <w:rFonts w:ascii="Times New Roman" w:hAnsi="Times New Roman" w:cs="Times New Roman"/>
          <w:sz w:val="28"/>
          <w:szCs w:val="28"/>
        </w:rPr>
        <w:t xml:space="preserve"> році</w:t>
      </w:r>
    </w:p>
    <w:p w:rsidR="00832A36" w:rsidRPr="00832A36" w:rsidRDefault="00832A36" w:rsidP="00C00538">
      <w:pPr>
        <w:autoSpaceDE w:val="0"/>
        <w:autoSpaceDN w:val="0"/>
        <w:adjustRightInd w:val="0"/>
        <w:spacing w:after="0" w:line="240" w:lineRule="auto"/>
        <w:ind w:firstLine="709"/>
        <w:jc w:val="center"/>
        <w:rPr>
          <w:rFonts w:ascii="Times New Roman" w:hAnsi="Times New Roman" w:cs="Times New Roman"/>
          <w:sz w:val="28"/>
          <w:szCs w:val="28"/>
        </w:rPr>
      </w:pPr>
    </w:p>
    <w:p w:rsidR="00832A36" w:rsidRPr="00832A36" w:rsidRDefault="00832A36" w:rsidP="00C00538">
      <w:pPr>
        <w:autoSpaceDE w:val="0"/>
        <w:autoSpaceDN w:val="0"/>
        <w:adjustRightInd w:val="0"/>
        <w:spacing w:after="0" w:line="240" w:lineRule="auto"/>
        <w:ind w:firstLine="709"/>
        <w:jc w:val="center"/>
        <w:rPr>
          <w:rFonts w:ascii="Times New Roman" w:hAnsi="Times New Roman" w:cs="Times New Roman"/>
          <w:b/>
          <w:bCs/>
          <w:i/>
          <w:iCs/>
          <w:sz w:val="28"/>
          <w:szCs w:val="28"/>
        </w:rPr>
      </w:pPr>
      <w:r w:rsidRPr="00832A36">
        <w:rPr>
          <w:rFonts w:ascii="Times New Roman" w:hAnsi="Times New Roman" w:cs="Times New Roman"/>
          <w:b/>
          <w:bCs/>
          <w:i/>
          <w:iCs/>
          <w:sz w:val="28"/>
          <w:szCs w:val="28"/>
        </w:rPr>
        <w:t>Особливості прийому на навчання до Уманського національного</w:t>
      </w:r>
    </w:p>
    <w:p w:rsidR="00832A36" w:rsidRPr="00832A36" w:rsidRDefault="00832A36" w:rsidP="00C00538">
      <w:pPr>
        <w:autoSpaceDE w:val="0"/>
        <w:autoSpaceDN w:val="0"/>
        <w:adjustRightInd w:val="0"/>
        <w:spacing w:after="0" w:line="240" w:lineRule="auto"/>
        <w:ind w:firstLine="709"/>
        <w:jc w:val="center"/>
        <w:rPr>
          <w:rFonts w:ascii="Times New Roman" w:hAnsi="Times New Roman" w:cs="Times New Roman"/>
          <w:b/>
          <w:bCs/>
          <w:i/>
          <w:iCs/>
          <w:sz w:val="28"/>
          <w:szCs w:val="28"/>
        </w:rPr>
      </w:pPr>
      <w:r w:rsidRPr="00832A36">
        <w:rPr>
          <w:rFonts w:ascii="Times New Roman" w:hAnsi="Times New Roman" w:cs="Times New Roman"/>
          <w:b/>
          <w:bCs/>
          <w:i/>
          <w:iCs/>
          <w:sz w:val="28"/>
          <w:szCs w:val="28"/>
        </w:rPr>
        <w:t>університету садівництва іноземців та осіб без громадянства</w:t>
      </w:r>
    </w:p>
    <w:p w:rsidR="00832A36" w:rsidRPr="00832A36" w:rsidRDefault="00832A36" w:rsidP="00832A36">
      <w:pPr>
        <w:autoSpaceDE w:val="0"/>
        <w:autoSpaceDN w:val="0"/>
        <w:adjustRightInd w:val="0"/>
        <w:spacing w:after="0" w:line="240" w:lineRule="auto"/>
        <w:ind w:firstLine="709"/>
        <w:jc w:val="both"/>
        <w:rPr>
          <w:rFonts w:ascii="Times New Roman" w:hAnsi="Times New Roman" w:cs="Times New Roman"/>
          <w:b/>
          <w:bCs/>
          <w:i/>
          <w:iCs/>
          <w:sz w:val="28"/>
          <w:szCs w:val="28"/>
        </w:rPr>
      </w:pPr>
    </w:p>
    <w:p w:rsidR="00832A36" w:rsidRPr="00027708" w:rsidRDefault="00832A36" w:rsidP="00027708">
      <w:pPr>
        <w:pStyle w:val="a4"/>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027708">
        <w:rPr>
          <w:rFonts w:ascii="Times New Roman" w:hAnsi="Times New Roman" w:cs="Times New Roman"/>
          <w:sz w:val="28"/>
          <w:szCs w:val="28"/>
        </w:rPr>
        <w:t>Прийом на навчання до Уманського НУС іноземців та осіб без громадянства</w:t>
      </w:r>
      <w:r w:rsidR="00B95D30" w:rsidRPr="00027708">
        <w:rPr>
          <w:rFonts w:ascii="Times New Roman" w:hAnsi="Times New Roman" w:cs="Times New Roman"/>
          <w:sz w:val="28"/>
          <w:szCs w:val="28"/>
        </w:rPr>
        <w:t xml:space="preserve"> </w:t>
      </w:r>
      <w:r w:rsidRPr="00027708">
        <w:rPr>
          <w:rFonts w:ascii="Times New Roman" w:hAnsi="Times New Roman" w:cs="Times New Roman"/>
          <w:sz w:val="28"/>
          <w:szCs w:val="28"/>
        </w:rPr>
        <w:t>здійснюється згідно із Законами України «Про вищу освіту», «Про правовий статус іноземців та осіб без громадянства», «Про закордонних українців», «Про біженців та осіб, які потребують додаткового або тимчасового захисту», Указом Президента України від 03 червня 1994 року № 271 «Про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Молдова», постановою Кабінету Міністрів України від 11 вересня 2013 року № 684 «Деякі питання набору для навчання іноземців та осіб без громадянства», наказом Міністерства освіти і науки України від 01 листопада 2013 року № 1541 «Деякі питання організації набору та навчання (стажування) іноземців та осіб без громадянства», зареєстрованим у Міністерстві юстиції України 25 лист</w:t>
      </w:r>
      <w:r w:rsidR="00027708" w:rsidRPr="00027708">
        <w:rPr>
          <w:rFonts w:ascii="Times New Roman" w:hAnsi="Times New Roman" w:cs="Times New Roman"/>
          <w:sz w:val="28"/>
          <w:szCs w:val="28"/>
        </w:rPr>
        <w:t>опада 2013 року за № 2004/24536, наказом Міністерства освіти і науки України від 02 грудня 2019 року № 1498 «Про затвердження Порядку встановлення квот для здобуття вищої освіти іноземцями та особами без громадянства в межах обсягів державного замовлення відповідно до міжнародних договорів України», зареєстрованим у Міністерстві юстиції України 10 лютого 2020 року за № 153/34436.</w:t>
      </w:r>
    </w:p>
    <w:p w:rsidR="00027708" w:rsidRPr="00027708" w:rsidRDefault="00027708" w:rsidP="00027708">
      <w:pPr>
        <w:autoSpaceDE w:val="0"/>
        <w:autoSpaceDN w:val="0"/>
        <w:adjustRightInd w:val="0"/>
        <w:spacing w:after="0" w:line="240" w:lineRule="auto"/>
        <w:ind w:firstLine="709"/>
        <w:jc w:val="both"/>
        <w:rPr>
          <w:rFonts w:ascii="Times New Roman" w:hAnsi="Times New Roman" w:cs="Times New Roman"/>
          <w:sz w:val="28"/>
          <w:szCs w:val="28"/>
        </w:rPr>
      </w:pPr>
      <w:r w:rsidRPr="00027708">
        <w:rPr>
          <w:rFonts w:ascii="Times New Roman" w:hAnsi="Times New Roman" w:cs="Times New Roman"/>
          <w:sz w:val="28"/>
          <w:szCs w:val="28"/>
        </w:rPr>
        <w:t>Громадяни Російської Федерації та Республіки Бєларусь, які не мають посвідки на постійне (тимчасове) проживання в Україні, приймаються на навчання за індивідуальним дозволом Міністерства освіти і науки України</w:t>
      </w:r>
      <w:r>
        <w:rPr>
          <w:rFonts w:ascii="Times New Roman" w:hAnsi="Times New Roman" w:cs="Times New Roman"/>
          <w:sz w:val="28"/>
          <w:szCs w:val="28"/>
        </w:rPr>
        <w:t>.</w:t>
      </w:r>
    </w:p>
    <w:p w:rsidR="00832A36" w:rsidRPr="00027708" w:rsidRDefault="00832A36" w:rsidP="00027708">
      <w:pPr>
        <w:pStyle w:val="a4"/>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027708">
        <w:rPr>
          <w:rFonts w:ascii="Times New Roman" w:hAnsi="Times New Roman" w:cs="Times New Roman"/>
          <w:sz w:val="28"/>
          <w:szCs w:val="28"/>
        </w:rPr>
        <w:t xml:space="preserve">Іноземці та особи без громадянства (далі - іноземці) можуть здобувати вищу освіту за кошти фізичних та/або юридичних осіб, якщо іншого не передбачено міжнародними договорами України, згода на обов'язковість яких надана Верховною Радою України, законодавством або угодами між закладами вищої освіти про міжнародну академічну мобільність. Прийом іноземців до закладів вищої освіти на навчання за рахунок коштів державного бюджету здійснюється в межах квот для іноземців (крім іноземців та осіб без громадянства, у тому числі закордонних українців, які постійно проживають в Україні, осіб, яких визнано біженцями, та осіб, які потребують додаткового захисту). </w:t>
      </w:r>
    </w:p>
    <w:p w:rsidR="00027708" w:rsidRDefault="00027708" w:rsidP="00027708">
      <w:pPr>
        <w:autoSpaceDE w:val="0"/>
        <w:autoSpaceDN w:val="0"/>
        <w:adjustRightInd w:val="0"/>
        <w:spacing w:after="0" w:line="240" w:lineRule="auto"/>
        <w:ind w:firstLine="709"/>
        <w:jc w:val="both"/>
        <w:rPr>
          <w:rFonts w:ascii="Times New Roman" w:hAnsi="Times New Roman" w:cs="Times New Roman"/>
          <w:sz w:val="28"/>
          <w:szCs w:val="28"/>
        </w:rPr>
      </w:pPr>
      <w:r w:rsidRPr="00027708">
        <w:rPr>
          <w:rFonts w:ascii="Times New Roman" w:hAnsi="Times New Roman" w:cs="Times New Roman"/>
          <w:sz w:val="28"/>
          <w:szCs w:val="28"/>
        </w:rPr>
        <w:t>Прийом на навчання іноземців для здобуття ступенів бакалавра, магістра та доктора філософії проводиться на акредитовані освітні програми. 47 Університет також може приймати іноземців для навчання в аспірантурі, докторантурі, за програмами підготовчого факультету (підрозділу), з вивчення державної мови та/або мови навчання.</w:t>
      </w:r>
    </w:p>
    <w:p w:rsidR="00642680" w:rsidRDefault="00027708" w:rsidP="000277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027708">
        <w:rPr>
          <w:rFonts w:ascii="Times New Roman" w:hAnsi="Times New Roman" w:cs="Times New Roman"/>
          <w:sz w:val="28"/>
          <w:szCs w:val="28"/>
        </w:rPr>
        <w:t xml:space="preserve">Прийом іноземців на навчання може проводитись очно та/або дистанційно. Термін дії запрошення на навчання становить не більше 1 року з дати його реєстрації в Автоматизованій системі «Електронний журнал» уповноваженого Міністерством освіти і науки України державного підприємства. Брати участь у дистанційному прийомі можуть іноземці, які отримали запрошення на навчання, зареєстроване в Автоматизованій системі </w:t>
      </w:r>
      <w:r w:rsidRPr="00027708">
        <w:rPr>
          <w:rFonts w:ascii="Times New Roman" w:hAnsi="Times New Roman" w:cs="Times New Roman"/>
          <w:sz w:val="28"/>
          <w:szCs w:val="28"/>
        </w:rPr>
        <w:lastRenderedPageBreak/>
        <w:t xml:space="preserve">«Електронний журнал» уповноваженого Міністерством освіти і науки України державного підприємства, отримали комплекс послуг з інформаційної та консультаційної підтримки, а також отримали візу для в’їзду в Україну з метою навчання. Для організації дистанційного набору іноземних громадян на навчання для здобуття вищої освіти Університет укладає угоду з партнерською організацією, що є резидентом країни походження вступників. Предметом угоди є надання послуг з ідентифікації особи, верифікації оригіналів документів вступників, організації прийому заяв вступників в електронній формі, надання приміщень і технічних засобів для проведення консультацій і вступних випробувань закладом вищої освіти у дистанційному форматі. Укладання угод закладами освіти України можливе з організаціями, що відповідають таким вимогам: </w:t>
      </w:r>
    </w:p>
    <w:p w:rsidR="00642680" w:rsidRDefault="00027708" w:rsidP="00027708">
      <w:pPr>
        <w:autoSpaceDE w:val="0"/>
        <w:autoSpaceDN w:val="0"/>
        <w:adjustRightInd w:val="0"/>
        <w:spacing w:after="0" w:line="240" w:lineRule="auto"/>
        <w:ind w:firstLine="709"/>
        <w:jc w:val="both"/>
        <w:rPr>
          <w:rFonts w:ascii="Times New Roman" w:hAnsi="Times New Roman" w:cs="Times New Roman"/>
          <w:sz w:val="28"/>
          <w:szCs w:val="28"/>
        </w:rPr>
      </w:pPr>
      <w:r w:rsidRPr="00027708">
        <w:rPr>
          <w:rFonts w:ascii="Times New Roman" w:hAnsi="Times New Roman" w:cs="Times New Roman"/>
          <w:sz w:val="28"/>
          <w:szCs w:val="28"/>
        </w:rPr>
        <w:t xml:space="preserve">відповідність площі приміщень для дистанційного подання документів, проведення консультацій і вступних випробувань встановленим нормам карантинних обмежень в країні, де здійснюється набір; </w:t>
      </w:r>
    </w:p>
    <w:p w:rsidR="00642680" w:rsidRDefault="00027708" w:rsidP="00027708">
      <w:pPr>
        <w:autoSpaceDE w:val="0"/>
        <w:autoSpaceDN w:val="0"/>
        <w:adjustRightInd w:val="0"/>
        <w:spacing w:after="0" w:line="240" w:lineRule="auto"/>
        <w:ind w:firstLine="709"/>
        <w:jc w:val="both"/>
        <w:rPr>
          <w:rFonts w:ascii="Times New Roman" w:hAnsi="Times New Roman" w:cs="Times New Roman"/>
          <w:sz w:val="28"/>
          <w:szCs w:val="28"/>
        </w:rPr>
      </w:pPr>
      <w:r w:rsidRPr="00027708">
        <w:rPr>
          <w:rFonts w:ascii="Times New Roman" w:hAnsi="Times New Roman" w:cs="Times New Roman"/>
          <w:sz w:val="28"/>
          <w:szCs w:val="28"/>
        </w:rPr>
        <w:t>забезпечення вступників засобами індивідуального захисту; забезпечення процедури ідентифікації вступників з використанням технологій розпізнавання обличчя, яка включає перевірку персональних даних (прізвище, ім’я по батькові (за наявності)), біометричних даних та їх верифікацію з офіційною (державною) базою даних;</w:t>
      </w:r>
    </w:p>
    <w:p w:rsidR="00642680" w:rsidRDefault="00027708" w:rsidP="00027708">
      <w:pPr>
        <w:autoSpaceDE w:val="0"/>
        <w:autoSpaceDN w:val="0"/>
        <w:adjustRightInd w:val="0"/>
        <w:spacing w:after="0" w:line="240" w:lineRule="auto"/>
        <w:ind w:firstLine="709"/>
        <w:jc w:val="both"/>
        <w:rPr>
          <w:rFonts w:ascii="Times New Roman" w:hAnsi="Times New Roman" w:cs="Times New Roman"/>
          <w:sz w:val="28"/>
          <w:szCs w:val="28"/>
        </w:rPr>
      </w:pPr>
      <w:r w:rsidRPr="00027708">
        <w:rPr>
          <w:rFonts w:ascii="Times New Roman" w:hAnsi="Times New Roman" w:cs="Times New Roman"/>
          <w:sz w:val="28"/>
          <w:szCs w:val="28"/>
        </w:rPr>
        <w:t xml:space="preserve"> забезпечення контролю дотримання вимог доброчесності під час складання вступного іспиту для іноземців; </w:t>
      </w:r>
    </w:p>
    <w:p w:rsidR="00642680" w:rsidRDefault="00027708" w:rsidP="00027708">
      <w:pPr>
        <w:autoSpaceDE w:val="0"/>
        <w:autoSpaceDN w:val="0"/>
        <w:adjustRightInd w:val="0"/>
        <w:spacing w:after="0" w:line="240" w:lineRule="auto"/>
        <w:ind w:firstLine="709"/>
        <w:jc w:val="both"/>
        <w:rPr>
          <w:rFonts w:ascii="Times New Roman" w:hAnsi="Times New Roman" w:cs="Times New Roman"/>
          <w:sz w:val="28"/>
          <w:szCs w:val="28"/>
        </w:rPr>
      </w:pPr>
      <w:r w:rsidRPr="00027708">
        <w:rPr>
          <w:rFonts w:ascii="Times New Roman" w:hAnsi="Times New Roman" w:cs="Times New Roman"/>
          <w:sz w:val="28"/>
          <w:szCs w:val="28"/>
        </w:rPr>
        <w:t>забезпечення місця збереження вилучених на час проходження вступного випробування телефонів, планшетних комп’ютерів та інших електронних пристроїв вступників;</w:t>
      </w:r>
    </w:p>
    <w:p w:rsidR="00642680" w:rsidRDefault="00027708" w:rsidP="00027708">
      <w:pPr>
        <w:autoSpaceDE w:val="0"/>
        <w:autoSpaceDN w:val="0"/>
        <w:adjustRightInd w:val="0"/>
        <w:spacing w:after="0" w:line="240" w:lineRule="auto"/>
        <w:ind w:firstLine="709"/>
        <w:jc w:val="both"/>
        <w:rPr>
          <w:rFonts w:ascii="Times New Roman" w:hAnsi="Times New Roman" w:cs="Times New Roman"/>
          <w:sz w:val="28"/>
          <w:szCs w:val="28"/>
        </w:rPr>
      </w:pPr>
      <w:r w:rsidRPr="00027708">
        <w:rPr>
          <w:rFonts w:ascii="Times New Roman" w:hAnsi="Times New Roman" w:cs="Times New Roman"/>
          <w:sz w:val="28"/>
          <w:szCs w:val="28"/>
        </w:rPr>
        <w:t xml:space="preserve"> забезпечення пристроєм пригнічення стільникової та інтернет мережі; </w:t>
      </w:r>
    </w:p>
    <w:p w:rsidR="00642680" w:rsidRDefault="00027708" w:rsidP="00027708">
      <w:pPr>
        <w:autoSpaceDE w:val="0"/>
        <w:autoSpaceDN w:val="0"/>
        <w:adjustRightInd w:val="0"/>
        <w:spacing w:after="0" w:line="240" w:lineRule="auto"/>
        <w:ind w:firstLine="709"/>
        <w:jc w:val="both"/>
        <w:rPr>
          <w:rFonts w:ascii="Times New Roman" w:hAnsi="Times New Roman" w:cs="Times New Roman"/>
          <w:sz w:val="28"/>
          <w:szCs w:val="28"/>
        </w:rPr>
      </w:pPr>
      <w:r w:rsidRPr="00027708">
        <w:rPr>
          <w:rFonts w:ascii="Times New Roman" w:hAnsi="Times New Roman" w:cs="Times New Roman"/>
          <w:sz w:val="28"/>
          <w:szCs w:val="28"/>
        </w:rPr>
        <w:t xml:space="preserve">забезпечення відеоспостереження по периметру аудиторії, в якій відбувається вступний іспит для іноземців шляхом встановлення не менше ніж двох відеокамер; </w:t>
      </w:r>
    </w:p>
    <w:p w:rsidR="00642680" w:rsidRDefault="00027708" w:rsidP="00027708">
      <w:pPr>
        <w:autoSpaceDE w:val="0"/>
        <w:autoSpaceDN w:val="0"/>
        <w:adjustRightInd w:val="0"/>
        <w:spacing w:after="0" w:line="240" w:lineRule="auto"/>
        <w:ind w:firstLine="709"/>
        <w:jc w:val="both"/>
        <w:rPr>
          <w:rFonts w:ascii="Times New Roman" w:hAnsi="Times New Roman" w:cs="Times New Roman"/>
          <w:sz w:val="28"/>
          <w:szCs w:val="28"/>
        </w:rPr>
      </w:pPr>
      <w:r w:rsidRPr="00027708">
        <w:rPr>
          <w:rFonts w:ascii="Times New Roman" w:hAnsi="Times New Roman" w:cs="Times New Roman"/>
          <w:sz w:val="28"/>
          <w:szCs w:val="28"/>
        </w:rPr>
        <w:t xml:space="preserve">забезпечення технічного оснащення для відеозв’язку з екзаменаційною комісією Університету у режимі реального часу (комп’ютер, відеокамера, мікрофон, телевізор або проектор з екраном); </w:t>
      </w:r>
    </w:p>
    <w:p w:rsidR="00642680" w:rsidRDefault="00027708" w:rsidP="00027708">
      <w:pPr>
        <w:autoSpaceDE w:val="0"/>
        <w:autoSpaceDN w:val="0"/>
        <w:adjustRightInd w:val="0"/>
        <w:spacing w:after="0" w:line="240" w:lineRule="auto"/>
        <w:ind w:firstLine="709"/>
        <w:jc w:val="both"/>
        <w:rPr>
          <w:rFonts w:ascii="Times New Roman" w:hAnsi="Times New Roman" w:cs="Times New Roman"/>
          <w:sz w:val="28"/>
          <w:szCs w:val="28"/>
        </w:rPr>
      </w:pPr>
      <w:r w:rsidRPr="00027708">
        <w:rPr>
          <w:rFonts w:ascii="Times New Roman" w:hAnsi="Times New Roman" w:cs="Times New Roman"/>
          <w:sz w:val="28"/>
          <w:szCs w:val="28"/>
        </w:rPr>
        <w:t xml:space="preserve">наявність в аудиторії не менше як двох працівників для контролю за дотриманням вимог академічної доброчесності та технічного супроводу під час проведення вступного іспиту для іноземців; </w:t>
      </w:r>
    </w:p>
    <w:p w:rsidR="00642680" w:rsidRDefault="00027708" w:rsidP="00027708">
      <w:pPr>
        <w:autoSpaceDE w:val="0"/>
        <w:autoSpaceDN w:val="0"/>
        <w:adjustRightInd w:val="0"/>
        <w:spacing w:after="0" w:line="240" w:lineRule="auto"/>
        <w:ind w:firstLine="709"/>
        <w:jc w:val="both"/>
        <w:rPr>
          <w:rFonts w:ascii="Times New Roman" w:hAnsi="Times New Roman" w:cs="Times New Roman"/>
          <w:sz w:val="28"/>
          <w:szCs w:val="28"/>
        </w:rPr>
      </w:pPr>
      <w:r w:rsidRPr="00027708">
        <w:rPr>
          <w:rFonts w:ascii="Times New Roman" w:hAnsi="Times New Roman" w:cs="Times New Roman"/>
          <w:sz w:val="28"/>
          <w:szCs w:val="28"/>
        </w:rPr>
        <w:t xml:space="preserve">забезпечення усіх вступників індивідуальними комп’ютерами з підключенням до онлайн-платформи закладу, через яку відбуватиметься вступний іспит для іноземців; </w:t>
      </w:r>
    </w:p>
    <w:p w:rsidR="00642680" w:rsidRDefault="00027708" w:rsidP="00027708">
      <w:pPr>
        <w:autoSpaceDE w:val="0"/>
        <w:autoSpaceDN w:val="0"/>
        <w:adjustRightInd w:val="0"/>
        <w:spacing w:after="0" w:line="240" w:lineRule="auto"/>
        <w:ind w:firstLine="709"/>
        <w:jc w:val="both"/>
        <w:rPr>
          <w:rFonts w:ascii="Times New Roman" w:hAnsi="Times New Roman" w:cs="Times New Roman"/>
          <w:sz w:val="28"/>
          <w:szCs w:val="28"/>
        </w:rPr>
      </w:pPr>
      <w:r w:rsidRPr="00027708">
        <w:rPr>
          <w:rFonts w:ascii="Times New Roman" w:hAnsi="Times New Roman" w:cs="Times New Roman"/>
          <w:sz w:val="28"/>
          <w:szCs w:val="28"/>
        </w:rPr>
        <w:t xml:space="preserve">забезпечення проведення консультацій і тренувань перед вступним іспитом для іноземців з метою ознайомлення з правилами його складання в дистанційній формі і використання онлайн-платформи; </w:t>
      </w:r>
    </w:p>
    <w:p w:rsidR="00027708" w:rsidRPr="00027708" w:rsidRDefault="00027708" w:rsidP="00027708">
      <w:pPr>
        <w:autoSpaceDE w:val="0"/>
        <w:autoSpaceDN w:val="0"/>
        <w:adjustRightInd w:val="0"/>
        <w:spacing w:after="0" w:line="240" w:lineRule="auto"/>
        <w:ind w:firstLine="709"/>
        <w:jc w:val="both"/>
        <w:rPr>
          <w:rFonts w:ascii="Times New Roman" w:hAnsi="Times New Roman" w:cs="Times New Roman"/>
          <w:sz w:val="28"/>
          <w:szCs w:val="28"/>
        </w:rPr>
      </w:pPr>
      <w:r w:rsidRPr="00027708">
        <w:rPr>
          <w:rFonts w:ascii="Times New Roman" w:hAnsi="Times New Roman" w:cs="Times New Roman"/>
          <w:sz w:val="28"/>
          <w:szCs w:val="28"/>
        </w:rPr>
        <w:t>забезпечення відеозапису вступного випробування, передачі відеоматеріалу до закладу освіти через онлайн-платформу, зберігання інформаційних та відеоматеріалів після проведення вступного іспиту для іноземців протягом п’яти років в партнерській організації.</w:t>
      </w:r>
    </w:p>
    <w:p w:rsidR="00832A36" w:rsidRPr="00832A36" w:rsidRDefault="00027708" w:rsidP="00832A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32A36" w:rsidRPr="00832A36">
        <w:rPr>
          <w:rFonts w:ascii="Times New Roman" w:hAnsi="Times New Roman" w:cs="Times New Roman"/>
          <w:sz w:val="28"/>
          <w:szCs w:val="28"/>
        </w:rPr>
        <w:t>. Зарахування вступників з числа іноземців на навчання за кошти фізичних</w:t>
      </w:r>
      <w:r w:rsidR="00832A36">
        <w:rPr>
          <w:rFonts w:ascii="Times New Roman" w:hAnsi="Times New Roman" w:cs="Times New Roman"/>
          <w:sz w:val="28"/>
          <w:szCs w:val="28"/>
        </w:rPr>
        <w:t xml:space="preserve"> </w:t>
      </w:r>
      <w:r w:rsidR="00832A36" w:rsidRPr="00832A36">
        <w:rPr>
          <w:rFonts w:ascii="Times New Roman" w:hAnsi="Times New Roman" w:cs="Times New Roman"/>
          <w:sz w:val="28"/>
          <w:szCs w:val="28"/>
        </w:rPr>
        <w:t>та/або юридичних осіб може здійснюватися Уманським НУС:</w:t>
      </w:r>
    </w:p>
    <w:p w:rsidR="009F1C47" w:rsidRDefault="00832A36" w:rsidP="00832A36">
      <w:pPr>
        <w:autoSpaceDE w:val="0"/>
        <w:autoSpaceDN w:val="0"/>
        <w:adjustRightInd w:val="0"/>
        <w:spacing w:after="0" w:line="240" w:lineRule="auto"/>
        <w:ind w:firstLine="709"/>
        <w:jc w:val="both"/>
      </w:pPr>
      <w:r w:rsidRPr="00832A36">
        <w:rPr>
          <w:rFonts w:ascii="Times New Roman" w:hAnsi="Times New Roman" w:cs="Times New Roman"/>
          <w:sz w:val="28"/>
          <w:szCs w:val="28"/>
        </w:rPr>
        <w:lastRenderedPageBreak/>
        <w:t>1) двічі на рік, до і на початку академічних семестрів (але не пізніше ніж 01</w:t>
      </w:r>
      <w:r>
        <w:rPr>
          <w:rFonts w:ascii="Times New Roman" w:hAnsi="Times New Roman" w:cs="Times New Roman"/>
          <w:sz w:val="28"/>
          <w:szCs w:val="28"/>
        </w:rPr>
        <w:t xml:space="preserve"> </w:t>
      </w:r>
      <w:r w:rsidRPr="00832A36">
        <w:rPr>
          <w:rFonts w:ascii="Times New Roman" w:hAnsi="Times New Roman" w:cs="Times New Roman"/>
          <w:sz w:val="28"/>
          <w:szCs w:val="28"/>
        </w:rPr>
        <w:t xml:space="preserve">листопада і </w:t>
      </w:r>
      <w:r w:rsidR="009F1C47">
        <w:rPr>
          <w:rFonts w:ascii="Times New Roman" w:hAnsi="Times New Roman" w:cs="Times New Roman"/>
          <w:sz w:val="28"/>
          <w:szCs w:val="28"/>
        </w:rPr>
        <w:t>15</w:t>
      </w:r>
      <w:r w:rsidRPr="00832A36">
        <w:rPr>
          <w:rFonts w:ascii="Times New Roman" w:hAnsi="Times New Roman" w:cs="Times New Roman"/>
          <w:sz w:val="28"/>
          <w:szCs w:val="28"/>
        </w:rPr>
        <w:t xml:space="preserve"> </w:t>
      </w:r>
      <w:r w:rsidR="009F1C47">
        <w:rPr>
          <w:rFonts w:ascii="Times New Roman" w:hAnsi="Times New Roman" w:cs="Times New Roman"/>
          <w:sz w:val="28"/>
          <w:szCs w:val="28"/>
        </w:rPr>
        <w:t>квітня</w:t>
      </w:r>
      <w:r w:rsidRPr="00832A36">
        <w:rPr>
          <w:rFonts w:ascii="Times New Roman" w:hAnsi="Times New Roman" w:cs="Times New Roman"/>
          <w:sz w:val="28"/>
          <w:szCs w:val="28"/>
        </w:rPr>
        <w:t xml:space="preserve"> відповідно), </w:t>
      </w:r>
      <w:r w:rsidR="009F1C47" w:rsidRPr="009F1C47">
        <w:rPr>
          <w:rFonts w:ascii="Times New Roman" w:hAnsi="Times New Roman" w:cs="Times New Roman"/>
          <w:sz w:val="28"/>
          <w:szCs w:val="28"/>
        </w:rPr>
        <w:t>для здобуття ступенів молодшого бакалавра, бакалавра, магістра;</w:t>
      </w:r>
      <w:r w:rsidR="009F1C47">
        <w:t xml:space="preserve"> </w:t>
      </w:r>
    </w:p>
    <w:p w:rsidR="00832A36" w:rsidRPr="00832A36" w:rsidRDefault="00832A36" w:rsidP="00832A36">
      <w:pPr>
        <w:autoSpaceDE w:val="0"/>
        <w:autoSpaceDN w:val="0"/>
        <w:adjustRightInd w:val="0"/>
        <w:spacing w:after="0" w:line="240" w:lineRule="auto"/>
        <w:ind w:firstLine="709"/>
        <w:jc w:val="both"/>
        <w:rPr>
          <w:rFonts w:ascii="Times New Roman" w:hAnsi="Times New Roman" w:cs="Times New Roman"/>
          <w:sz w:val="28"/>
          <w:szCs w:val="28"/>
        </w:rPr>
      </w:pPr>
      <w:r w:rsidRPr="00832A36">
        <w:rPr>
          <w:rFonts w:ascii="Times New Roman" w:hAnsi="Times New Roman" w:cs="Times New Roman"/>
          <w:sz w:val="28"/>
          <w:szCs w:val="28"/>
        </w:rPr>
        <w:t>2) упродовж року для навчання в аспірантурі.</w:t>
      </w:r>
    </w:p>
    <w:p w:rsidR="009F1C47" w:rsidRDefault="009F1C47" w:rsidP="00832A36">
      <w:pPr>
        <w:autoSpaceDE w:val="0"/>
        <w:autoSpaceDN w:val="0"/>
        <w:adjustRightInd w:val="0"/>
        <w:spacing w:after="0" w:line="240" w:lineRule="auto"/>
        <w:ind w:firstLine="709"/>
        <w:jc w:val="both"/>
      </w:pPr>
      <w:r w:rsidRPr="009F1C47">
        <w:rPr>
          <w:rFonts w:ascii="Times New Roman" w:hAnsi="Times New Roman" w:cs="Times New Roman"/>
          <w:sz w:val="28"/>
          <w:szCs w:val="28"/>
        </w:rPr>
        <w:t>Університет обчислює бали/оцінки вступника на основі документа про попередній здобутий рівень освіти та встановлює мінімально необхідне для вступу значення кількості балів/оцінок із загальноосвітніх предметів, з яких проводиться вступний іспит для іноземців.</w:t>
      </w:r>
      <w:r>
        <w:t xml:space="preserve"> </w:t>
      </w:r>
    </w:p>
    <w:p w:rsidR="009F1C47" w:rsidRDefault="009F1C47" w:rsidP="00832A36">
      <w:pPr>
        <w:autoSpaceDE w:val="0"/>
        <w:autoSpaceDN w:val="0"/>
        <w:adjustRightInd w:val="0"/>
        <w:spacing w:after="0" w:line="240" w:lineRule="auto"/>
        <w:ind w:firstLine="709"/>
        <w:jc w:val="both"/>
        <w:rPr>
          <w:rFonts w:ascii="Times New Roman" w:hAnsi="Times New Roman" w:cs="Times New Roman"/>
          <w:sz w:val="28"/>
          <w:szCs w:val="28"/>
        </w:rPr>
      </w:pPr>
      <w:r w:rsidRPr="009F1C47">
        <w:rPr>
          <w:rFonts w:ascii="Times New Roman" w:hAnsi="Times New Roman" w:cs="Times New Roman"/>
          <w:sz w:val="28"/>
          <w:szCs w:val="28"/>
        </w:rPr>
        <w:t xml:space="preserve">Зарахування іноземців на навчання на відповідний рівень вищої освіти здійснюється за результатами вступних іспитів для іноземців з визначених предметів і мови навчання та на підставі академічних прав на продовження навчання, що надаються документом про здобутий рівень освіти в країні його походження, і врахування балів успішності, що дають право на продовження навчання на наступному рівні вищої освіти відповідно до законодавства країни, що видала документ про здобутий ступінь (рівень) освіти. </w:t>
      </w:r>
    </w:p>
    <w:p w:rsidR="00E36126" w:rsidRDefault="00027708" w:rsidP="00E3612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32A36" w:rsidRPr="00832A36">
        <w:rPr>
          <w:rFonts w:ascii="Times New Roman" w:hAnsi="Times New Roman" w:cs="Times New Roman"/>
          <w:sz w:val="28"/>
          <w:szCs w:val="28"/>
        </w:rPr>
        <w:t xml:space="preserve">. </w:t>
      </w:r>
      <w:r w:rsidR="00E36126" w:rsidRPr="00E36126">
        <w:rPr>
          <w:rFonts w:ascii="Times New Roman" w:hAnsi="Times New Roman" w:cs="Times New Roman"/>
          <w:sz w:val="28"/>
          <w:szCs w:val="28"/>
        </w:rPr>
        <w:t>Усі категорії іноземців, які вступають на навчання, зараховуються до Університету на підставі наказів про зарахування. Підтвердженням факту навчання може бути довідка, сформована в ЄДЕБО.</w:t>
      </w:r>
    </w:p>
    <w:p w:rsidR="00E36126" w:rsidRDefault="00E36126" w:rsidP="00832A3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36126">
        <w:rPr>
          <w:rFonts w:ascii="Times New Roman" w:hAnsi="Times New Roman" w:cs="Times New Roman"/>
          <w:sz w:val="28"/>
          <w:szCs w:val="28"/>
        </w:rPr>
        <w:t xml:space="preserve">6. Вимоги Університету щодо відповідності вступників із числа іноземців, які прибули в Україну з метою навчання, Порядку та Правилам прийому, а також строки прийому заяв і документів, проведення вступного іспиту для іноземців та зарахування зазначаються у Правилах прийому та оприлюднюються на офіційному вебсайті Університету. </w:t>
      </w:r>
    </w:p>
    <w:p w:rsidR="00E36126" w:rsidRDefault="00E36126" w:rsidP="00832A3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36126">
        <w:rPr>
          <w:rFonts w:ascii="Times New Roman" w:hAnsi="Times New Roman" w:cs="Times New Roman"/>
          <w:sz w:val="28"/>
          <w:szCs w:val="28"/>
        </w:rPr>
        <w:t xml:space="preserve">7. 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навчання у межах установлених квот для іноземців на підставі направлень Міністерства освіти і науки України. </w:t>
      </w:r>
    </w:p>
    <w:p w:rsidR="00E36126" w:rsidRDefault="00E36126" w:rsidP="00832A3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36126">
        <w:rPr>
          <w:rFonts w:ascii="Times New Roman" w:hAnsi="Times New Roman" w:cs="Times New Roman"/>
          <w:sz w:val="28"/>
          <w:szCs w:val="28"/>
        </w:rPr>
        <w:t xml:space="preserve">8. Іноземці, які прибувають в Україну для участі в програмах академічної мобільності або для здобуття вищої освіти за узгодженими між українським та іноземним закладами вищої освіти освітніми програмами, приймаються на навчання з урахуванням договірних зобов’язань відповідних закладів вищої освіти. </w:t>
      </w:r>
    </w:p>
    <w:p w:rsidR="00E36126" w:rsidRDefault="00E36126" w:rsidP="00832A3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36126">
        <w:rPr>
          <w:rFonts w:ascii="Times New Roman" w:hAnsi="Times New Roman" w:cs="Times New Roman"/>
          <w:sz w:val="28"/>
          <w:szCs w:val="28"/>
        </w:rPr>
        <w:t xml:space="preserve">9. Іноземці та особи без громадянства, зокрема закордонні українці, які постійно проживають в Україні, особи, яких визнано біженцями, та особи, які потребують додаткового захисту, мають право на здобуття вищої освіти нарівні з громадянами України, зокрема за рахунок коштів державного або місцевого бюджету, за винятками, встановленими Конституцією України, законами України чи міжнародними договорами, згода на обов’язковість яких надана Верховною Радою України. Закордонні українці, статус яких засвідчений посвідченням закордонного українця (крім осіб, які постійно проживають в Україні), можуть зараховуватись на навчання за державним замовленням у межах установлених квот для іноземців за співбесідою з предметів, передбачених Правилами прийому. </w:t>
      </w:r>
    </w:p>
    <w:p w:rsidR="00E36126" w:rsidRDefault="00E36126" w:rsidP="00832A3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36126">
        <w:rPr>
          <w:rFonts w:ascii="Times New Roman" w:hAnsi="Times New Roman" w:cs="Times New Roman"/>
          <w:sz w:val="28"/>
          <w:szCs w:val="28"/>
        </w:rPr>
        <w:t xml:space="preserve">10. Для здобуття ступенів вищої освіти до Уманського НУС приймаються іноземці: які здобули повну загальну середню освіту, освітньо-кваліфікаційний рівень молодшого спеціаліста – для здобуття ступеня бакалавра; які здобули ступінь бакалавра, магістра (освітньо-кваліфікаційний рівень спеціаліста) – для </w:t>
      </w:r>
      <w:r w:rsidRPr="00E36126">
        <w:rPr>
          <w:rFonts w:ascii="Times New Roman" w:hAnsi="Times New Roman" w:cs="Times New Roman"/>
          <w:sz w:val="28"/>
          <w:szCs w:val="28"/>
        </w:rPr>
        <w:lastRenderedPageBreak/>
        <w:t xml:space="preserve">здобуття ступеня магістра; які здобули ступінь магістра (освітньо-кваліфікаційний рівень спеціаліста) – для здобуття ступеня доктора філософії. </w:t>
      </w:r>
    </w:p>
    <w:p w:rsidR="007002CA" w:rsidRDefault="00E36126" w:rsidP="00832A3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36126">
        <w:rPr>
          <w:rFonts w:ascii="Times New Roman" w:hAnsi="Times New Roman" w:cs="Times New Roman"/>
          <w:sz w:val="28"/>
          <w:szCs w:val="28"/>
        </w:rPr>
        <w:t xml:space="preserve">11. Для вступу до Уманського НУС іноземці, які перебувають на території України на законних підставах, особисто подають до Центру міжнародної освіти та співпраці заповнену заяву на ім'я ректора про вступ, в якій зазначають спеціальність, форму та джерела фінансування навчання, мову проведення вступного випробування та навчання (українська). У заяві фіксуються реєстраційні дані документа про рівень освіти; факт ознайомлення вступника з Правилами прийому, наявністю ліцензії, сертифікатом про державну акредитацію обраної спеціальності, ознайомлення з правилами подачі апеляції, що підтверджується особистим підписом вступника. </w:t>
      </w:r>
    </w:p>
    <w:p w:rsidR="007002CA" w:rsidRDefault="00E36126" w:rsidP="00832A3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36126">
        <w:rPr>
          <w:rFonts w:ascii="Times New Roman" w:hAnsi="Times New Roman" w:cs="Times New Roman"/>
          <w:sz w:val="28"/>
          <w:szCs w:val="28"/>
        </w:rPr>
        <w:t xml:space="preserve">До заяви додаються: </w:t>
      </w:r>
    </w:p>
    <w:p w:rsidR="007002CA" w:rsidRDefault="00E36126" w:rsidP="00832A3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36126">
        <w:rPr>
          <w:rFonts w:ascii="Times New Roman" w:hAnsi="Times New Roman" w:cs="Times New Roman"/>
          <w:sz w:val="28"/>
          <w:szCs w:val="28"/>
        </w:rPr>
        <w:t xml:space="preserve">документ (оригінал та 2 копії) про раніше здобутий освітній (освітньокваліфікаційний) рівень, на основі якого здійснюється вступ; </w:t>
      </w:r>
    </w:p>
    <w:p w:rsidR="007002CA" w:rsidRDefault="00E36126" w:rsidP="00832A3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36126">
        <w:rPr>
          <w:rFonts w:ascii="Times New Roman" w:hAnsi="Times New Roman" w:cs="Times New Roman"/>
          <w:sz w:val="28"/>
          <w:szCs w:val="28"/>
        </w:rPr>
        <w:t xml:space="preserve">додаток (оригінал та 2 копії) до документа про раніше здобутий освітній (освітньо-кваліфікаційний) рівень, на основі якого здійснюється вступ (за наявності); </w:t>
      </w:r>
    </w:p>
    <w:p w:rsidR="007002CA" w:rsidRDefault="00E36126" w:rsidP="00832A3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36126">
        <w:rPr>
          <w:rFonts w:ascii="Times New Roman" w:hAnsi="Times New Roman" w:cs="Times New Roman"/>
          <w:sz w:val="28"/>
          <w:szCs w:val="28"/>
        </w:rPr>
        <w:t xml:space="preserve">академічну довідку, видану іноземним/українським навчальним закладом (у разі переведення або поновлення на навчання, починаючи з другого курсу, додається академічна довідка); </w:t>
      </w:r>
    </w:p>
    <w:p w:rsidR="007002CA" w:rsidRDefault="00E36126" w:rsidP="00832A3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36126">
        <w:rPr>
          <w:rFonts w:ascii="Times New Roman" w:hAnsi="Times New Roman" w:cs="Times New Roman"/>
          <w:sz w:val="28"/>
          <w:szCs w:val="28"/>
        </w:rPr>
        <w:t>оригінал та копію документа, в якому міститься інформація про зміст навчальної програми за попереднім ступенем (рівнем) вищої освіти, отримані кредити, тривалість навчання та успішність з навчальних дисциплін (у разі відсутності цієї інформації у додатку до документа про освіту), при вступі для здобуття ступеня магістра або післядипломної освіти, якщо відсутність цієї інформації унеможливлює здійснити визнання кваліфікації за документом;</w:t>
      </w:r>
    </w:p>
    <w:p w:rsidR="007002CA" w:rsidRDefault="00E36126" w:rsidP="00832A3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36126">
        <w:rPr>
          <w:rFonts w:ascii="Times New Roman" w:hAnsi="Times New Roman" w:cs="Times New Roman"/>
          <w:sz w:val="28"/>
          <w:szCs w:val="28"/>
        </w:rPr>
        <w:t xml:space="preserve"> копію паспортного документа іноземця або документа, що посвідчує особу без громадянства; </w:t>
      </w:r>
    </w:p>
    <w:p w:rsidR="007002CA" w:rsidRDefault="00E36126" w:rsidP="00832A3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36126">
        <w:rPr>
          <w:rFonts w:ascii="Times New Roman" w:hAnsi="Times New Roman" w:cs="Times New Roman"/>
          <w:sz w:val="28"/>
          <w:szCs w:val="28"/>
        </w:rPr>
        <w:t xml:space="preserve">поліс медичного страхування, якщо інше не передбачено міжнародними договорами України; </w:t>
      </w:r>
    </w:p>
    <w:p w:rsidR="00E36126" w:rsidRDefault="00E36126" w:rsidP="00832A3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36126">
        <w:rPr>
          <w:rFonts w:ascii="Times New Roman" w:hAnsi="Times New Roman" w:cs="Times New Roman"/>
          <w:sz w:val="28"/>
          <w:szCs w:val="28"/>
        </w:rPr>
        <w:t xml:space="preserve">фотокартки: </w:t>
      </w:r>
    </w:p>
    <w:p w:rsidR="00E36126" w:rsidRDefault="00E36126" w:rsidP="00E3612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36126">
        <w:rPr>
          <w:rFonts w:ascii="Times New Roman" w:hAnsi="Times New Roman" w:cs="Times New Roman"/>
          <w:sz w:val="28"/>
          <w:szCs w:val="28"/>
        </w:rPr>
        <w:t xml:space="preserve">розміром 3 х 4 – 6 шт., розміром 3.5 х 4.5 – 4 шт.; </w:t>
      </w:r>
    </w:p>
    <w:p w:rsidR="00E36126" w:rsidRDefault="00E36126" w:rsidP="00832A3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36126">
        <w:rPr>
          <w:rFonts w:ascii="Times New Roman" w:hAnsi="Times New Roman" w:cs="Times New Roman"/>
          <w:sz w:val="28"/>
          <w:szCs w:val="28"/>
        </w:rPr>
        <w:t xml:space="preserve">копію посвідчення закордонного українця (за наявності); </w:t>
      </w:r>
    </w:p>
    <w:p w:rsidR="00E36126" w:rsidRDefault="00E36126" w:rsidP="00832A3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36126">
        <w:rPr>
          <w:rFonts w:ascii="Times New Roman" w:hAnsi="Times New Roman" w:cs="Times New Roman"/>
          <w:sz w:val="28"/>
          <w:szCs w:val="28"/>
        </w:rPr>
        <w:t xml:space="preserve">іноземці, які вступають на навчання за програмами академічної мобільності, подають документи, затверджені правилами прийому до вищого навчального закладу та/або передбачені вимогами міжнародних програм та/або договорів, в рамках яких реалізується академічна мобільність. </w:t>
      </w:r>
    </w:p>
    <w:p w:rsidR="00E36126" w:rsidRDefault="00E36126" w:rsidP="00832A3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36126">
        <w:rPr>
          <w:rFonts w:ascii="Times New Roman" w:hAnsi="Times New Roman" w:cs="Times New Roman"/>
          <w:sz w:val="28"/>
          <w:szCs w:val="28"/>
        </w:rPr>
        <w:t xml:space="preserve">Документи, зазначені у підпунктах 1-5 цього пункту, мають бути перекладені українською мовою з нотаріальним засвідченням перекладу. </w:t>
      </w:r>
    </w:p>
    <w:p w:rsidR="00E36126" w:rsidRDefault="00E36126" w:rsidP="00832A3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36126">
        <w:rPr>
          <w:rFonts w:ascii="Times New Roman" w:hAnsi="Times New Roman" w:cs="Times New Roman"/>
          <w:sz w:val="28"/>
          <w:szCs w:val="28"/>
        </w:rPr>
        <w:t xml:space="preserve">Документи, зазначені у підпунктах 1-4 цього пункту, мають бути засвідчені в країні їх видачі у спосіб, який офіційно застосовується в цій країні для такого засвідчення, та легалізовані відповідною закордонною установою України, якщо інше не передбачено міжнародними договорами України. </w:t>
      </w:r>
    </w:p>
    <w:p w:rsidR="00E36126" w:rsidRDefault="00E36126" w:rsidP="00832A3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36126">
        <w:rPr>
          <w:rFonts w:ascii="Times New Roman" w:hAnsi="Times New Roman" w:cs="Times New Roman"/>
          <w:sz w:val="28"/>
          <w:szCs w:val="28"/>
        </w:rPr>
        <w:t xml:space="preserve">Заява та документи, зазначені в цьому пункті, зберігаються в особовій справі вступників/студентів. </w:t>
      </w:r>
    </w:p>
    <w:p w:rsidR="00E36126" w:rsidRDefault="00E36126" w:rsidP="00832A3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36126">
        <w:rPr>
          <w:rFonts w:ascii="Times New Roman" w:hAnsi="Times New Roman" w:cs="Times New Roman"/>
          <w:sz w:val="28"/>
          <w:szCs w:val="28"/>
        </w:rPr>
        <w:lastRenderedPageBreak/>
        <w:t xml:space="preserve">12. Документи, зазначенні в переліку повинні бути засвідченні відповідно до законодавства країни їх видачі та легалізовані у встановленому порядку, якщо інше не встановлено міжнародними договорами України. </w:t>
      </w:r>
    </w:p>
    <w:p w:rsidR="00E36126" w:rsidRDefault="00E36126" w:rsidP="00832A3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36126">
        <w:rPr>
          <w:rFonts w:ascii="Times New Roman" w:hAnsi="Times New Roman" w:cs="Times New Roman"/>
          <w:sz w:val="28"/>
          <w:szCs w:val="28"/>
        </w:rPr>
        <w:t xml:space="preserve">13. Іноземні документи про попередню освіту зарахованих на навчання іноземців, проходять процедуру визнання в Україні відповідно до законодавства. </w:t>
      </w:r>
    </w:p>
    <w:p w:rsidR="00247F2A" w:rsidRPr="00832A36" w:rsidRDefault="00E36126" w:rsidP="00832A3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36126">
        <w:rPr>
          <w:rFonts w:ascii="Times New Roman" w:hAnsi="Times New Roman" w:cs="Times New Roman"/>
          <w:sz w:val="28"/>
          <w:szCs w:val="28"/>
        </w:rPr>
        <w:t>14. Прийом заяв і документів, проведення вступних випробувань та зарахування на навчання вступників-іноземців проводиться в такі терміни:</w:t>
      </w:r>
    </w:p>
    <w:tbl>
      <w:tblPr>
        <w:tblStyle w:val="a3"/>
        <w:tblW w:w="0" w:type="auto"/>
        <w:tblLook w:val="04A0" w:firstRow="1" w:lastRow="0" w:firstColumn="1" w:lastColumn="0" w:noHBand="0" w:noVBand="1"/>
      </w:tblPr>
      <w:tblGrid>
        <w:gridCol w:w="4927"/>
        <w:gridCol w:w="4928"/>
      </w:tblGrid>
      <w:tr w:rsidR="007002CA" w:rsidTr="007002CA">
        <w:tc>
          <w:tcPr>
            <w:tcW w:w="4927" w:type="dxa"/>
          </w:tcPr>
          <w:p w:rsidR="007002CA" w:rsidRPr="00706FBE" w:rsidRDefault="007002CA" w:rsidP="00706FBE">
            <w:pPr>
              <w:autoSpaceDE w:val="0"/>
              <w:autoSpaceDN w:val="0"/>
              <w:adjustRightInd w:val="0"/>
              <w:contextualSpacing/>
              <w:jc w:val="center"/>
              <w:rPr>
                <w:rFonts w:ascii="Times New Roman" w:hAnsi="Times New Roman" w:cs="Times New Roman"/>
                <w:b/>
                <w:sz w:val="28"/>
                <w:szCs w:val="28"/>
              </w:rPr>
            </w:pPr>
            <w:r w:rsidRPr="00706FBE">
              <w:rPr>
                <w:rFonts w:ascii="Times New Roman" w:hAnsi="Times New Roman" w:cs="Times New Roman"/>
                <w:b/>
                <w:sz w:val="28"/>
                <w:szCs w:val="28"/>
              </w:rPr>
              <w:t>Етапи вступної кампанії</w:t>
            </w:r>
          </w:p>
        </w:tc>
        <w:tc>
          <w:tcPr>
            <w:tcW w:w="4928" w:type="dxa"/>
          </w:tcPr>
          <w:p w:rsidR="007002CA" w:rsidRPr="00706FBE" w:rsidRDefault="007002CA" w:rsidP="00706FBE">
            <w:pPr>
              <w:autoSpaceDE w:val="0"/>
              <w:autoSpaceDN w:val="0"/>
              <w:adjustRightInd w:val="0"/>
              <w:contextualSpacing/>
              <w:jc w:val="center"/>
              <w:rPr>
                <w:rFonts w:ascii="Times New Roman" w:hAnsi="Times New Roman" w:cs="Times New Roman"/>
                <w:b/>
                <w:sz w:val="28"/>
                <w:szCs w:val="28"/>
              </w:rPr>
            </w:pPr>
            <w:r w:rsidRPr="00706FBE">
              <w:rPr>
                <w:rFonts w:ascii="Times New Roman" w:hAnsi="Times New Roman" w:cs="Times New Roman"/>
                <w:b/>
                <w:sz w:val="28"/>
                <w:szCs w:val="28"/>
              </w:rPr>
              <w:t>Денна/заочна форма навчання</w:t>
            </w:r>
          </w:p>
        </w:tc>
      </w:tr>
      <w:tr w:rsidR="007002CA" w:rsidTr="007002CA">
        <w:tc>
          <w:tcPr>
            <w:tcW w:w="4927" w:type="dxa"/>
          </w:tcPr>
          <w:p w:rsidR="007002CA" w:rsidRPr="007002CA" w:rsidRDefault="007002CA" w:rsidP="007002CA">
            <w:pPr>
              <w:rPr>
                <w:rFonts w:ascii="Times New Roman" w:hAnsi="Times New Roman" w:cs="Times New Roman"/>
                <w:sz w:val="28"/>
                <w:szCs w:val="28"/>
              </w:rPr>
            </w:pPr>
            <w:r w:rsidRPr="007002CA">
              <w:rPr>
                <w:rFonts w:ascii="Times New Roman" w:hAnsi="Times New Roman" w:cs="Times New Roman"/>
                <w:sz w:val="28"/>
                <w:szCs w:val="28"/>
              </w:rPr>
              <w:t>Початок прийому заяв та документів</w:t>
            </w:r>
          </w:p>
        </w:tc>
        <w:tc>
          <w:tcPr>
            <w:tcW w:w="4928" w:type="dxa"/>
          </w:tcPr>
          <w:p w:rsidR="007002CA" w:rsidRPr="007002CA" w:rsidRDefault="007002CA" w:rsidP="007002CA">
            <w:pPr>
              <w:rPr>
                <w:rFonts w:ascii="Times New Roman" w:hAnsi="Times New Roman" w:cs="Times New Roman"/>
                <w:sz w:val="28"/>
                <w:szCs w:val="28"/>
              </w:rPr>
            </w:pPr>
            <w:r w:rsidRPr="007002CA">
              <w:rPr>
                <w:rFonts w:ascii="Times New Roman" w:hAnsi="Times New Roman" w:cs="Times New Roman"/>
                <w:sz w:val="28"/>
                <w:szCs w:val="28"/>
              </w:rPr>
              <w:t>01 липня; 01 січня.</w:t>
            </w:r>
          </w:p>
        </w:tc>
      </w:tr>
      <w:tr w:rsidR="007002CA" w:rsidTr="007002CA">
        <w:tc>
          <w:tcPr>
            <w:tcW w:w="4927" w:type="dxa"/>
          </w:tcPr>
          <w:p w:rsidR="007002CA" w:rsidRPr="007002CA" w:rsidRDefault="007002CA" w:rsidP="007002CA">
            <w:pPr>
              <w:rPr>
                <w:rFonts w:ascii="Times New Roman" w:hAnsi="Times New Roman" w:cs="Times New Roman"/>
                <w:sz w:val="28"/>
                <w:szCs w:val="28"/>
              </w:rPr>
            </w:pPr>
            <w:r w:rsidRPr="007002CA">
              <w:rPr>
                <w:rFonts w:ascii="Times New Roman" w:hAnsi="Times New Roman" w:cs="Times New Roman"/>
                <w:sz w:val="28"/>
                <w:szCs w:val="28"/>
              </w:rPr>
              <w:t xml:space="preserve">Закінчення прийому заяв та документів </w:t>
            </w:r>
          </w:p>
        </w:tc>
        <w:tc>
          <w:tcPr>
            <w:tcW w:w="4928" w:type="dxa"/>
          </w:tcPr>
          <w:p w:rsidR="007002CA" w:rsidRPr="007002CA" w:rsidRDefault="007002CA" w:rsidP="003E2763">
            <w:pPr>
              <w:rPr>
                <w:rFonts w:ascii="Times New Roman" w:hAnsi="Times New Roman" w:cs="Times New Roman"/>
                <w:sz w:val="28"/>
                <w:szCs w:val="28"/>
              </w:rPr>
            </w:pPr>
            <w:r w:rsidRPr="007002CA">
              <w:rPr>
                <w:rFonts w:ascii="Times New Roman" w:hAnsi="Times New Roman" w:cs="Times New Roman"/>
                <w:sz w:val="28"/>
                <w:szCs w:val="28"/>
              </w:rPr>
              <w:t>26 жовтня; 10 квітня.</w:t>
            </w:r>
          </w:p>
        </w:tc>
      </w:tr>
      <w:tr w:rsidR="007002CA" w:rsidTr="007002CA">
        <w:tc>
          <w:tcPr>
            <w:tcW w:w="4927" w:type="dxa"/>
          </w:tcPr>
          <w:p w:rsidR="007002CA" w:rsidRPr="007002CA" w:rsidRDefault="007002CA" w:rsidP="007002CA">
            <w:pPr>
              <w:rPr>
                <w:rFonts w:ascii="Times New Roman" w:hAnsi="Times New Roman" w:cs="Times New Roman"/>
                <w:sz w:val="28"/>
                <w:szCs w:val="28"/>
              </w:rPr>
            </w:pPr>
            <w:r w:rsidRPr="007002CA">
              <w:rPr>
                <w:rFonts w:ascii="Times New Roman" w:hAnsi="Times New Roman" w:cs="Times New Roman"/>
                <w:sz w:val="28"/>
                <w:szCs w:val="28"/>
              </w:rPr>
              <w:t xml:space="preserve">Терміни проведення вступних випробувань </w:t>
            </w:r>
          </w:p>
        </w:tc>
        <w:tc>
          <w:tcPr>
            <w:tcW w:w="4928" w:type="dxa"/>
          </w:tcPr>
          <w:p w:rsidR="007002CA" w:rsidRPr="007002CA" w:rsidRDefault="007002CA" w:rsidP="003E2763">
            <w:pPr>
              <w:rPr>
                <w:rFonts w:ascii="Times New Roman" w:hAnsi="Times New Roman" w:cs="Times New Roman"/>
                <w:sz w:val="28"/>
                <w:szCs w:val="28"/>
              </w:rPr>
            </w:pPr>
            <w:r w:rsidRPr="007002CA">
              <w:rPr>
                <w:rFonts w:ascii="Times New Roman" w:hAnsi="Times New Roman" w:cs="Times New Roman"/>
                <w:sz w:val="28"/>
                <w:szCs w:val="28"/>
              </w:rPr>
              <w:t>з 02 липня по 31 жовтня; з 04 січня по 14 квітня.</w:t>
            </w:r>
          </w:p>
        </w:tc>
      </w:tr>
      <w:tr w:rsidR="00642680" w:rsidTr="007002CA">
        <w:tc>
          <w:tcPr>
            <w:tcW w:w="4927" w:type="dxa"/>
          </w:tcPr>
          <w:p w:rsidR="00642680" w:rsidRPr="00642680" w:rsidRDefault="00642680" w:rsidP="00642680">
            <w:pPr>
              <w:rPr>
                <w:rFonts w:ascii="Times New Roman" w:hAnsi="Times New Roman" w:cs="Times New Roman"/>
                <w:sz w:val="28"/>
                <w:szCs w:val="28"/>
              </w:rPr>
            </w:pPr>
            <w:r w:rsidRPr="00642680">
              <w:rPr>
                <w:rFonts w:ascii="Times New Roman" w:hAnsi="Times New Roman" w:cs="Times New Roman"/>
                <w:sz w:val="28"/>
                <w:szCs w:val="28"/>
              </w:rPr>
              <w:t xml:space="preserve">Терміни зарахування вступників </w:t>
            </w:r>
          </w:p>
        </w:tc>
        <w:tc>
          <w:tcPr>
            <w:tcW w:w="4928" w:type="dxa"/>
          </w:tcPr>
          <w:p w:rsidR="00642680" w:rsidRPr="00642680" w:rsidRDefault="00642680">
            <w:pPr>
              <w:rPr>
                <w:rFonts w:ascii="Times New Roman" w:hAnsi="Times New Roman" w:cs="Times New Roman"/>
                <w:sz w:val="28"/>
                <w:szCs w:val="28"/>
              </w:rPr>
            </w:pPr>
            <w:r w:rsidRPr="00642680">
              <w:rPr>
                <w:rFonts w:ascii="Times New Roman" w:hAnsi="Times New Roman" w:cs="Times New Roman"/>
                <w:sz w:val="28"/>
                <w:szCs w:val="28"/>
              </w:rPr>
              <w:t>з 05 липня по 01 листопада; з 05 січня по 15 квітня.</w:t>
            </w:r>
          </w:p>
        </w:tc>
      </w:tr>
    </w:tbl>
    <w:p w:rsidR="00CA08B6" w:rsidRDefault="00CA08B6" w:rsidP="00832A36">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AC34D9" w:rsidRDefault="00AC34D9" w:rsidP="00AC34D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C34D9">
        <w:rPr>
          <w:rFonts w:ascii="Times New Roman" w:hAnsi="Times New Roman" w:cs="Times New Roman"/>
          <w:sz w:val="28"/>
          <w:szCs w:val="28"/>
        </w:rPr>
        <w:t xml:space="preserve">15. Прийом на навчання до Уманського НУС здійснюється за результатами вступних випробувань, незалежно від джерел фінансування. </w:t>
      </w:r>
    </w:p>
    <w:p w:rsidR="00AC34D9" w:rsidRDefault="00AC34D9" w:rsidP="00AC34D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C34D9">
        <w:rPr>
          <w:rFonts w:ascii="Times New Roman" w:hAnsi="Times New Roman" w:cs="Times New Roman"/>
          <w:sz w:val="28"/>
          <w:szCs w:val="28"/>
        </w:rPr>
        <w:t xml:space="preserve">16. Вступні випробування для іноземних громадян, які вступають на навчання до Уманського НУС для здобуття освітніх ступенів «бакалавр» та «магістр» проводяться у формі тестування. Конкурсний бал визначається як сума результатів вступних випробувань, з урахуванням середнього балу додатка до документа про попередньо здобуту освіту. </w:t>
      </w:r>
    </w:p>
    <w:p w:rsidR="00832A36" w:rsidRPr="00832A36" w:rsidRDefault="00AC34D9" w:rsidP="00AC34D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C34D9">
        <w:rPr>
          <w:rFonts w:ascii="Times New Roman" w:hAnsi="Times New Roman" w:cs="Times New Roman"/>
          <w:sz w:val="28"/>
          <w:szCs w:val="28"/>
        </w:rPr>
        <w:t>17. Для конкурсного відбору при вступі на навчання для здобуття освітнього ступеня бакалавра використовується сума результатів вступних випробувань з визначених предметів і мови навчання. Вступні випробування при вступі на навчання для здобуття ступеня бакалавра проводяться з таких предметів:</w:t>
      </w:r>
    </w:p>
    <w:tbl>
      <w:tblPr>
        <w:tblStyle w:val="a3"/>
        <w:tblW w:w="0" w:type="auto"/>
        <w:tblLayout w:type="fixed"/>
        <w:tblLook w:val="04A0" w:firstRow="1" w:lastRow="0" w:firstColumn="1" w:lastColumn="0" w:noHBand="0" w:noVBand="1"/>
      </w:tblPr>
      <w:tblGrid>
        <w:gridCol w:w="817"/>
        <w:gridCol w:w="4678"/>
        <w:gridCol w:w="1704"/>
        <w:gridCol w:w="2656"/>
      </w:tblGrid>
      <w:tr w:rsidR="00D85EBC" w:rsidRPr="00832A36" w:rsidTr="007E45EE">
        <w:tc>
          <w:tcPr>
            <w:tcW w:w="5495" w:type="dxa"/>
            <w:gridSpan w:val="2"/>
            <w:vAlign w:val="center"/>
          </w:tcPr>
          <w:p w:rsidR="00D85EBC" w:rsidRPr="00832A36" w:rsidRDefault="00D85EBC" w:rsidP="00CA08B6">
            <w:pPr>
              <w:autoSpaceDE w:val="0"/>
              <w:autoSpaceDN w:val="0"/>
              <w:adjustRightInd w:val="0"/>
              <w:jc w:val="center"/>
              <w:rPr>
                <w:rFonts w:ascii="Times New Roman,BoldItalic" w:hAnsi="Times New Roman,BoldItalic" w:cs="Times New Roman,BoldItalic"/>
                <w:b/>
                <w:bCs/>
                <w:i/>
                <w:iCs/>
                <w:sz w:val="26"/>
                <w:szCs w:val="26"/>
              </w:rPr>
            </w:pPr>
            <w:r>
              <w:rPr>
                <w:rFonts w:ascii="Times New Roman,BoldItalic" w:hAnsi="Times New Roman,BoldItalic" w:cs="Times New Roman,BoldItalic"/>
                <w:b/>
                <w:bCs/>
                <w:i/>
                <w:iCs/>
                <w:sz w:val="26"/>
                <w:szCs w:val="26"/>
              </w:rPr>
              <w:t>Спеціальності</w:t>
            </w:r>
          </w:p>
        </w:tc>
        <w:tc>
          <w:tcPr>
            <w:tcW w:w="1704" w:type="dxa"/>
            <w:vMerge w:val="restart"/>
            <w:vAlign w:val="center"/>
          </w:tcPr>
          <w:p w:rsidR="00D85EBC" w:rsidRPr="00832A36" w:rsidRDefault="00D85EBC" w:rsidP="00D85EBC">
            <w:pPr>
              <w:autoSpaceDE w:val="0"/>
              <w:autoSpaceDN w:val="0"/>
              <w:adjustRightInd w:val="0"/>
              <w:jc w:val="center"/>
              <w:rPr>
                <w:rFonts w:ascii="Times New Roman,BoldItalic" w:hAnsi="Times New Roman,BoldItalic" w:cs="Times New Roman,BoldItalic"/>
                <w:b/>
                <w:bCs/>
                <w:i/>
                <w:iCs/>
                <w:sz w:val="26"/>
                <w:szCs w:val="26"/>
              </w:rPr>
            </w:pPr>
            <w:r>
              <w:rPr>
                <w:rFonts w:ascii="Times New Roman,BoldItalic" w:hAnsi="Times New Roman,BoldItalic" w:cs="Times New Roman,BoldItalic"/>
                <w:b/>
                <w:bCs/>
                <w:i/>
                <w:iCs/>
                <w:sz w:val="26"/>
                <w:szCs w:val="26"/>
              </w:rPr>
              <w:t>Перелік конкурсних предметів</w:t>
            </w:r>
          </w:p>
        </w:tc>
        <w:tc>
          <w:tcPr>
            <w:tcW w:w="2656" w:type="dxa"/>
            <w:vMerge w:val="restart"/>
            <w:vAlign w:val="center"/>
          </w:tcPr>
          <w:p w:rsidR="00D85EBC" w:rsidRPr="00832A36" w:rsidRDefault="00D85EBC" w:rsidP="00D85EBC">
            <w:pPr>
              <w:autoSpaceDE w:val="0"/>
              <w:autoSpaceDN w:val="0"/>
              <w:adjustRightInd w:val="0"/>
              <w:jc w:val="center"/>
              <w:rPr>
                <w:rFonts w:ascii="Times New Roman,BoldItalic" w:hAnsi="Times New Roman,BoldItalic" w:cs="Times New Roman,BoldItalic"/>
                <w:b/>
                <w:bCs/>
                <w:i/>
                <w:iCs/>
                <w:sz w:val="26"/>
                <w:szCs w:val="26"/>
              </w:rPr>
            </w:pPr>
            <w:r>
              <w:rPr>
                <w:rFonts w:ascii="Times New Roman,BoldItalic" w:hAnsi="Times New Roman,BoldItalic" w:cs="Times New Roman,BoldItalic"/>
                <w:b/>
                <w:bCs/>
                <w:i/>
                <w:iCs/>
                <w:sz w:val="26"/>
                <w:szCs w:val="26"/>
              </w:rPr>
              <w:t>Мінімальна кількість балів для допуску до участі в конкурсу</w:t>
            </w:r>
          </w:p>
        </w:tc>
      </w:tr>
      <w:tr w:rsidR="00D85EBC" w:rsidRPr="00832A36" w:rsidTr="007E45EE">
        <w:tc>
          <w:tcPr>
            <w:tcW w:w="817" w:type="dxa"/>
            <w:vAlign w:val="center"/>
          </w:tcPr>
          <w:p w:rsidR="00D85EBC" w:rsidRPr="00832A36" w:rsidRDefault="00D85EBC" w:rsidP="00CA08B6">
            <w:pPr>
              <w:autoSpaceDE w:val="0"/>
              <w:autoSpaceDN w:val="0"/>
              <w:adjustRightInd w:val="0"/>
              <w:jc w:val="center"/>
              <w:rPr>
                <w:rFonts w:ascii="Times New Roman,BoldItalic" w:hAnsi="Times New Roman,BoldItalic" w:cs="Times New Roman,BoldItalic"/>
                <w:b/>
                <w:bCs/>
                <w:i/>
                <w:iCs/>
                <w:sz w:val="26"/>
                <w:szCs w:val="26"/>
              </w:rPr>
            </w:pPr>
            <w:r>
              <w:rPr>
                <w:rFonts w:ascii="Times New Roman,BoldItalic" w:hAnsi="Times New Roman,BoldItalic" w:cs="Times New Roman,BoldItalic"/>
                <w:b/>
                <w:bCs/>
                <w:i/>
                <w:iCs/>
                <w:sz w:val="26"/>
                <w:szCs w:val="26"/>
              </w:rPr>
              <w:t>Код</w:t>
            </w:r>
          </w:p>
        </w:tc>
        <w:tc>
          <w:tcPr>
            <w:tcW w:w="4678" w:type="dxa"/>
            <w:vAlign w:val="center"/>
          </w:tcPr>
          <w:p w:rsidR="00D85EBC" w:rsidRPr="00832A36" w:rsidRDefault="00D85EBC" w:rsidP="00CA08B6">
            <w:pPr>
              <w:autoSpaceDE w:val="0"/>
              <w:autoSpaceDN w:val="0"/>
              <w:adjustRightInd w:val="0"/>
              <w:jc w:val="center"/>
              <w:rPr>
                <w:rFonts w:ascii="Times New Roman,BoldItalic" w:hAnsi="Times New Roman,BoldItalic" w:cs="Times New Roman,BoldItalic"/>
                <w:b/>
                <w:bCs/>
                <w:i/>
                <w:iCs/>
                <w:sz w:val="26"/>
                <w:szCs w:val="26"/>
              </w:rPr>
            </w:pPr>
            <w:r>
              <w:rPr>
                <w:rFonts w:ascii="Times New Roman,BoldItalic" w:hAnsi="Times New Roman,BoldItalic" w:cs="Times New Roman,BoldItalic"/>
                <w:b/>
                <w:bCs/>
                <w:i/>
                <w:iCs/>
                <w:sz w:val="26"/>
                <w:szCs w:val="26"/>
              </w:rPr>
              <w:t>Назва</w:t>
            </w:r>
          </w:p>
        </w:tc>
        <w:tc>
          <w:tcPr>
            <w:tcW w:w="1704" w:type="dxa"/>
            <w:vMerge/>
          </w:tcPr>
          <w:p w:rsidR="00D85EBC" w:rsidRPr="00832A36" w:rsidRDefault="00D85EBC" w:rsidP="007971EA">
            <w:pPr>
              <w:autoSpaceDE w:val="0"/>
              <w:autoSpaceDN w:val="0"/>
              <w:adjustRightInd w:val="0"/>
              <w:rPr>
                <w:rFonts w:ascii="Times New Roman,BoldItalic" w:hAnsi="Times New Roman,BoldItalic" w:cs="Times New Roman,BoldItalic"/>
                <w:b/>
                <w:bCs/>
                <w:i/>
                <w:iCs/>
                <w:sz w:val="26"/>
                <w:szCs w:val="26"/>
              </w:rPr>
            </w:pPr>
          </w:p>
        </w:tc>
        <w:tc>
          <w:tcPr>
            <w:tcW w:w="2656" w:type="dxa"/>
            <w:vMerge/>
          </w:tcPr>
          <w:p w:rsidR="00D85EBC" w:rsidRPr="00832A36" w:rsidRDefault="00D85EBC" w:rsidP="007971EA">
            <w:pPr>
              <w:autoSpaceDE w:val="0"/>
              <w:autoSpaceDN w:val="0"/>
              <w:adjustRightInd w:val="0"/>
              <w:rPr>
                <w:rFonts w:ascii="Times New Roman,BoldItalic" w:hAnsi="Times New Roman,BoldItalic" w:cs="Times New Roman,BoldItalic"/>
                <w:b/>
                <w:bCs/>
                <w:i/>
                <w:iCs/>
                <w:sz w:val="26"/>
                <w:szCs w:val="26"/>
              </w:rPr>
            </w:pPr>
          </w:p>
        </w:tc>
      </w:tr>
      <w:tr w:rsidR="00272E29" w:rsidRPr="00832A36" w:rsidTr="007E45EE">
        <w:tc>
          <w:tcPr>
            <w:tcW w:w="817" w:type="dxa"/>
          </w:tcPr>
          <w:p w:rsidR="00272E29" w:rsidRPr="005321C1" w:rsidRDefault="00272E29" w:rsidP="007971EA">
            <w:pPr>
              <w:autoSpaceDE w:val="0"/>
              <w:autoSpaceDN w:val="0"/>
              <w:adjustRightInd w:val="0"/>
              <w:rPr>
                <w:rFonts w:ascii="Times New Roman" w:hAnsi="Times New Roman" w:cs="Times New Roman"/>
                <w:sz w:val="24"/>
                <w:szCs w:val="24"/>
              </w:rPr>
            </w:pPr>
            <w:r w:rsidRPr="005321C1">
              <w:rPr>
                <w:rFonts w:ascii="Times New Roman" w:hAnsi="Times New Roman" w:cs="Times New Roman"/>
                <w:sz w:val="24"/>
                <w:szCs w:val="24"/>
              </w:rPr>
              <w:t>051</w:t>
            </w:r>
          </w:p>
        </w:tc>
        <w:tc>
          <w:tcPr>
            <w:tcW w:w="4678" w:type="dxa"/>
          </w:tcPr>
          <w:p w:rsidR="00272E29" w:rsidRPr="005321C1" w:rsidRDefault="00272E29" w:rsidP="00D85EBC">
            <w:pPr>
              <w:autoSpaceDE w:val="0"/>
              <w:autoSpaceDN w:val="0"/>
              <w:adjustRightInd w:val="0"/>
              <w:rPr>
                <w:rFonts w:ascii="Times New Roman" w:hAnsi="Times New Roman" w:cs="Times New Roman"/>
                <w:sz w:val="24"/>
                <w:szCs w:val="24"/>
              </w:rPr>
            </w:pPr>
            <w:r w:rsidRPr="005321C1">
              <w:rPr>
                <w:rFonts w:ascii="Times New Roman" w:hAnsi="Times New Roman" w:cs="Times New Roman"/>
                <w:sz w:val="24"/>
                <w:szCs w:val="24"/>
              </w:rPr>
              <w:t>Економіка</w:t>
            </w:r>
          </w:p>
          <w:p w:rsidR="00272E29" w:rsidRPr="005321C1" w:rsidRDefault="00272E29" w:rsidP="00272E29">
            <w:pPr>
              <w:autoSpaceDE w:val="0"/>
              <w:autoSpaceDN w:val="0"/>
              <w:adjustRightInd w:val="0"/>
              <w:rPr>
                <w:rFonts w:ascii="Times New Roman" w:hAnsi="Times New Roman" w:cs="Times New Roman"/>
                <w:sz w:val="24"/>
                <w:szCs w:val="24"/>
              </w:rPr>
            </w:pPr>
          </w:p>
        </w:tc>
        <w:tc>
          <w:tcPr>
            <w:tcW w:w="1704" w:type="dxa"/>
            <w:vMerge w:val="restart"/>
            <w:vAlign w:val="center"/>
          </w:tcPr>
          <w:p w:rsidR="00272E29" w:rsidRPr="00272E29" w:rsidRDefault="00272E29" w:rsidP="00272E29">
            <w:pPr>
              <w:autoSpaceDE w:val="0"/>
              <w:autoSpaceDN w:val="0"/>
              <w:adjustRightInd w:val="0"/>
              <w:jc w:val="center"/>
              <w:rPr>
                <w:rFonts w:ascii="Times New Roman" w:hAnsi="Times New Roman" w:cs="Times New Roman"/>
                <w:sz w:val="24"/>
                <w:szCs w:val="24"/>
              </w:rPr>
            </w:pPr>
            <w:r w:rsidRPr="00272E29">
              <w:rPr>
                <w:rFonts w:ascii="Times New Roman" w:hAnsi="Times New Roman" w:cs="Times New Roman"/>
                <w:sz w:val="24"/>
                <w:szCs w:val="24"/>
              </w:rPr>
              <w:t>1. Українська мова</w:t>
            </w:r>
          </w:p>
          <w:p w:rsidR="00272E29" w:rsidRPr="00272E29" w:rsidRDefault="00272E29" w:rsidP="00272E29">
            <w:pPr>
              <w:autoSpaceDE w:val="0"/>
              <w:autoSpaceDN w:val="0"/>
              <w:adjustRightInd w:val="0"/>
              <w:jc w:val="center"/>
              <w:rPr>
                <w:rFonts w:ascii="Times New Roman" w:hAnsi="Times New Roman" w:cs="Times New Roman"/>
                <w:sz w:val="24"/>
                <w:szCs w:val="24"/>
              </w:rPr>
            </w:pPr>
            <w:r w:rsidRPr="00272E29">
              <w:rPr>
                <w:rFonts w:ascii="Times New Roman" w:hAnsi="Times New Roman" w:cs="Times New Roman"/>
                <w:sz w:val="24"/>
                <w:szCs w:val="24"/>
              </w:rPr>
              <w:t>2. Математика</w:t>
            </w:r>
          </w:p>
          <w:p w:rsidR="00272E29" w:rsidRPr="00832A36" w:rsidRDefault="00272E29" w:rsidP="00272E29">
            <w:pPr>
              <w:autoSpaceDE w:val="0"/>
              <w:autoSpaceDN w:val="0"/>
              <w:adjustRightInd w:val="0"/>
              <w:jc w:val="center"/>
              <w:rPr>
                <w:rFonts w:ascii="Times New Roman" w:hAnsi="Times New Roman" w:cs="Times New Roman"/>
                <w:sz w:val="24"/>
                <w:szCs w:val="24"/>
              </w:rPr>
            </w:pPr>
            <w:r w:rsidRPr="00272E29">
              <w:rPr>
                <w:rFonts w:ascii="Times New Roman" w:hAnsi="Times New Roman" w:cs="Times New Roman"/>
                <w:sz w:val="24"/>
                <w:szCs w:val="24"/>
              </w:rPr>
              <w:t>3. Географія</w:t>
            </w:r>
          </w:p>
        </w:tc>
        <w:tc>
          <w:tcPr>
            <w:tcW w:w="2656" w:type="dxa"/>
            <w:vMerge w:val="restart"/>
            <w:vAlign w:val="center"/>
          </w:tcPr>
          <w:p w:rsidR="00272E29" w:rsidRPr="00272E29" w:rsidRDefault="00272E29" w:rsidP="00272E29">
            <w:pPr>
              <w:autoSpaceDE w:val="0"/>
              <w:autoSpaceDN w:val="0"/>
              <w:adjustRightInd w:val="0"/>
              <w:jc w:val="center"/>
              <w:rPr>
                <w:rFonts w:ascii="Times New Roman" w:hAnsi="Times New Roman" w:cs="Times New Roman"/>
                <w:sz w:val="24"/>
                <w:szCs w:val="24"/>
              </w:rPr>
            </w:pPr>
            <w:r w:rsidRPr="00272E29">
              <w:rPr>
                <w:rFonts w:ascii="Times New Roman" w:hAnsi="Times New Roman" w:cs="Times New Roman"/>
                <w:sz w:val="24"/>
                <w:szCs w:val="24"/>
              </w:rPr>
              <w:t>100</w:t>
            </w:r>
          </w:p>
          <w:p w:rsidR="00272E29" w:rsidRPr="00272E29" w:rsidRDefault="00272E29" w:rsidP="00272E29">
            <w:pPr>
              <w:autoSpaceDE w:val="0"/>
              <w:autoSpaceDN w:val="0"/>
              <w:adjustRightInd w:val="0"/>
              <w:jc w:val="center"/>
              <w:rPr>
                <w:rFonts w:ascii="Times New Roman" w:hAnsi="Times New Roman" w:cs="Times New Roman"/>
                <w:sz w:val="24"/>
                <w:szCs w:val="24"/>
              </w:rPr>
            </w:pPr>
            <w:r w:rsidRPr="00272E29">
              <w:rPr>
                <w:rFonts w:ascii="Times New Roman" w:hAnsi="Times New Roman" w:cs="Times New Roman"/>
                <w:sz w:val="24"/>
                <w:szCs w:val="24"/>
              </w:rPr>
              <w:t>100</w:t>
            </w:r>
          </w:p>
          <w:p w:rsidR="00272E29" w:rsidRPr="00832A36" w:rsidRDefault="00272E29" w:rsidP="00272E29">
            <w:pPr>
              <w:autoSpaceDE w:val="0"/>
              <w:autoSpaceDN w:val="0"/>
              <w:adjustRightInd w:val="0"/>
              <w:jc w:val="center"/>
              <w:rPr>
                <w:rFonts w:ascii="Times New Roman" w:hAnsi="Times New Roman" w:cs="Times New Roman"/>
                <w:sz w:val="24"/>
                <w:szCs w:val="24"/>
              </w:rPr>
            </w:pPr>
            <w:r w:rsidRPr="00272E29">
              <w:rPr>
                <w:rFonts w:ascii="Times New Roman" w:hAnsi="Times New Roman" w:cs="Times New Roman"/>
                <w:sz w:val="24"/>
                <w:szCs w:val="24"/>
              </w:rPr>
              <w:t>100</w:t>
            </w:r>
          </w:p>
        </w:tc>
      </w:tr>
      <w:tr w:rsidR="00272E29" w:rsidRPr="00832A36" w:rsidTr="007E45EE">
        <w:tc>
          <w:tcPr>
            <w:tcW w:w="817" w:type="dxa"/>
          </w:tcPr>
          <w:p w:rsidR="00272E29" w:rsidRPr="00832A36" w:rsidRDefault="00272E29" w:rsidP="007971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071</w:t>
            </w:r>
          </w:p>
        </w:tc>
        <w:tc>
          <w:tcPr>
            <w:tcW w:w="4678" w:type="dxa"/>
          </w:tcPr>
          <w:p w:rsidR="00272E29" w:rsidRPr="00832A36" w:rsidRDefault="00272E29" w:rsidP="007971EA">
            <w:pPr>
              <w:autoSpaceDE w:val="0"/>
              <w:autoSpaceDN w:val="0"/>
              <w:adjustRightInd w:val="0"/>
              <w:rPr>
                <w:rFonts w:ascii="Times New Roman" w:hAnsi="Times New Roman" w:cs="Times New Roman"/>
                <w:sz w:val="24"/>
                <w:szCs w:val="24"/>
              </w:rPr>
            </w:pPr>
            <w:r w:rsidRPr="00272E29">
              <w:rPr>
                <w:rFonts w:ascii="Times New Roman" w:hAnsi="Times New Roman" w:cs="Times New Roman"/>
                <w:sz w:val="24"/>
                <w:szCs w:val="24"/>
              </w:rPr>
              <w:t>Облік і оподаткування</w:t>
            </w:r>
          </w:p>
        </w:tc>
        <w:tc>
          <w:tcPr>
            <w:tcW w:w="1704" w:type="dxa"/>
            <w:vMerge/>
            <w:vAlign w:val="center"/>
          </w:tcPr>
          <w:p w:rsidR="00272E29" w:rsidRPr="00832A36" w:rsidRDefault="00272E29" w:rsidP="00272E29">
            <w:pPr>
              <w:autoSpaceDE w:val="0"/>
              <w:autoSpaceDN w:val="0"/>
              <w:adjustRightInd w:val="0"/>
              <w:jc w:val="center"/>
              <w:rPr>
                <w:rFonts w:ascii="Times New Roman" w:hAnsi="Times New Roman" w:cs="Times New Roman"/>
                <w:sz w:val="24"/>
                <w:szCs w:val="24"/>
              </w:rPr>
            </w:pPr>
          </w:p>
        </w:tc>
        <w:tc>
          <w:tcPr>
            <w:tcW w:w="2656" w:type="dxa"/>
            <w:vMerge/>
            <w:vAlign w:val="center"/>
          </w:tcPr>
          <w:p w:rsidR="00272E29" w:rsidRPr="00832A36" w:rsidRDefault="00272E29" w:rsidP="00272E29">
            <w:pPr>
              <w:autoSpaceDE w:val="0"/>
              <w:autoSpaceDN w:val="0"/>
              <w:adjustRightInd w:val="0"/>
              <w:jc w:val="center"/>
              <w:rPr>
                <w:rFonts w:ascii="Times New Roman" w:hAnsi="Times New Roman" w:cs="Times New Roman"/>
                <w:sz w:val="24"/>
                <w:szCs w:val="24"/>
              </w:rPr>
            </w:pPr>
          </w:p>
        </w:tc>
      </w:tr>
      <w:tr w:rsidR="00272E29" w:rsidRPr="00832A36" w:rsidTr="007E45EE">
        <w:tc>
          <w:tcPr>
            <w:tcW w:w="817" w:type="dxa"/>
          </w:tcPr>
          <w:p w:rsidR="00272E29" w:rsidRPr="00832A36" w:rsidRDefault="00272E29" w:rsidP="007971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072</w:t>
            </w:r>
          </w:p>
        </w:tc>
        <w:tc>
          <w:tcPr>
            <w:tcW w:w="4678" w:type="dxa"/>
          </w:tcPr>
          <w:p w:rsidR="00272E29" w:rsidRPr="00832A36" w:rsidRDefault="00272E29" w:rsidP="007971EA">
            <w:pPr>
              <w:autoSpaceDE w:val="0"/>
              <w:autoSpaceDN w:val="0"/>
              <w:adjustRightInd w:val="0"/>
              <w:rPr>
                <w:rFonts w:ascii="Times New Roman" w:hAnsi="Times New Roman" w:cs="Times New Roman"/>
                <w:sz w:val="24"/>
                <w:szCs w:val="24"/>
              </w:rPr>
            </w:pPr>
            <w:r w:rsidRPr="00272E29">
              <w:rPr>
                <w:rFonts w:ascii="Times New Roman" w:hAnsi="Times New Roman" w:cs="Times New Roman"/>
                <w:sz w:val="24"/>
                <w:szCs w:val="24"/>
              </w:rPr>
              <w:t>Фінанси, банківська справа та страхування</w:t>
            </w:r>
          </w:p>
        </w:tc>
        <w:tc>
          <w:tcPr>
            <w:tcW w:w="1704" w:type="dxa"/>
            <w:vMerge/>
            <w:vAlign w:val="center"/>
          </w:tcPr>
          <w:p w:rsidR="00272E29" w:rsidRPr="00832A36" w:rsidRDefault="00272E29" w:rsidP="00272E29">
            <w:pPr>
              <w:autoSpaceDE w:val="0"/>
              <w:autoSpaceDN w:val="0"/>
              <w:adjustRightInd w:val="0"/>
              <w:jc w:val="center"/>
              <w:rPr>
                <w:rFonts w:ascii="Times New Roman" w:hAnsi="Times New Roman" w:cs="Times New Roman"/>
                <w:sz w:val="24"/>
                <w:szCs w:val="24"/>
              </w:rPr>
            </w:pPr>
          </w:p>
        </w:tc>
        <w:tc>
          <w:tcPr>
            <w:tcW w:w="2656" w:type="dxa"/>
            <w:vMerge/>
            <w:vAlign w:val="center"/>
          </w:tcPr>
          <w:p w:rsidR="00272E29" w:rsidRPr="00832A36" w:rsidRDefault="00272E29" w:rsidP="00272E29">
            <w:pPr>
              <w:autoSpaceDE w:val="0"/>
              <w:autoSpaceDN w:val="0"/>
              <w:adjustRightInd w:val="0"/>
              <w:jc w:val="center"/>
              <w:rPr>
                <w:rFonts w:ascii="Times New Roman" w:hAnsi="Times New Roman" w:cs="Times New Roman"/>
                <w:sz w:val="24"/>
                <w:szCs w:val="24"/>
              </w:rPr>
            </w:pPr>
          </w:p>
        </w:tc>
      </w:tr>
      <w:tr w:rsidR="00272E29" w:rsidRPr="00832A36" w:rsidTr="007E45EE">
        <w:tc>
          <w:tcPr>
            <w:tcW w:w="817" w:type="dxa"/>
          </w:tcPr>
          <w:p w:rsidR="00272E29" w:rsidRPr="00832A36" w:rsidRDefault="00272E29" w:rsidP="007971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073</w:t>
            </w:r>
          </w:p>
        </w:tc>
        <w:tc>
          <w:tcPr>
            <w:tcW w:w="4678" w:type="dxa"/>
          </w:tcPr>
          <w:p w:rsidR="00272E29" w:rsidRPr="00832A36" w:rsidRDefault="00272E29" w:rsidP="007971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Менеджмент</w:t>
            </w:r>
          </w:p>
        </w:tc>
        <w:tc>
          <w:tcPr>
            <w:tcW w:w="1704" w:type="dxa"/>
            <w:vMerge/>
            <w:vAlign w:val="center"/>
          </w:tcPr>
          <w:p w:rsidR="00272E29" w:rsidRPr="00832A36" w:rsidRDefault="00272E29" w:rsidP="00272E29">
            <w:pPr>
              <w:autoSpaceDE w:val="0"/>
              <w:autoSpaceDN w:val="0"/>
              <w:adjustRightInd w:val="0"/>
              <w:jc w:val="center"/>
              <w:rPr>
                <w:rFonts w:ascii="Times New Roman" w:hAnsi="Times New Roman" w:cs="Times New Roman"/>
                <w:sz w:val="24"/>
                <w:szCs w:val="24"/>
              </w:rPr>
            </w:pPr>
          </w:p>
        </w:tc>
        <w:tc>
          <w:tcPr>
            <w:tcW w:w="2656" w:type="dxa"/>
            <w:vMerge/>
            <w:vAlign w:val="center"/>
          </w:tcPr>
          <w:p w:rsidR="00272E29" w:rsidRPr="00832A36" w:rsidRDefault="00272E29" w:rsidP="00272E29">
            <w:pPr>
              <w:autoSpaceDE w:val="0"/>
              <w:autoSpaceDN w:val="0"/>
              <w:adjustRightInd w:val="0"/>
              <w:jc w:val="center"/>
              <w:rPr>
                <w:rFonts w:ascii="Times New Roman" w:hAnsi="Times New Roman" w:cs="Times New Roman"/>
                <w:sz w:val="24"/>
                <w:szCs w:val="24"/>
              </w:rPr>
            </w:pPr>
          </w:p>
        </w:tc>
      </w:tr>
      <w:tr w:rsidR="00272E29" w:rsidRPr="00832A36" w:rsidTr="007E45EE">
        <w:tc>
          <w:tcPr>
            <w:tcW w:w="817" w:type="dxa"/>
          </w:tcPr>
          <w:p w:rsidR="00272E29" w:rsidRPr="00832A36" w:rsidRDefault="00272E29" w:rsidP="007971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075</w:t>
            </w:r>
          </w:p>
        </w:tc>
        <w:tc>
          <w:tcPr>
            <w:tcW w:w="4678" w:type="dxa"/>
          </w:tcPr>
          <w:p w:rsidR="00272E29" w:rsidRPr="00832A36" w:rsidRDefault="00272E29" w:rsidP="007971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Маркетинг</w:t>
            </w:r>
          </w:p>
        </w:tc>
        <w:tc>
          <w:tcPr>
            <w:tcW w:w="1704" w:type="dxa"/>
            <w:vMerge/>
            <w:vAlign w:val="center"/>
          </w:tcPr>
          <w:p w:rsidR="00272E29" w:rsidRPr="00832A36" w:rsidRDefault="00272E29" w:rsidP="00272E29">
            <w:pPr>
              <w:autoSpaceDE w:val="0"/>
              <w:autoSpaceDN w:val="0"/>
              <w:adjustRightInd w:val="0"/>
              <w:jc w:val="center"/>
              <w:rPr>
                <w:rFonts w:ascii="Times New Roman" w:hAnsi="Times New Roman" w:cs="Times New Roman"/>
                <w:sz w:val="24"/>
                <w:szCs w:val="24"/>
              </w:rPr>
            </w:pPr>
          </w:p>
        </w:tc>
        <w:tc>
          <w:tcPr>
            <w:tcW w:w="2656" w:type="dxa"/>
            <w:vMerge/>
            <w:vAlign w:val="center"/>
          </w:tcPr>
          <w:p w:rsidR="00272E29" w:rsidRPr="00832A36" w:rsidRDefault="00272E29" w:rsidP="00272E29">
            <w:pPr>
              <w:autoSpaceDE w:val="0"/>
              <w:autoSpaceDN w:val="0"/>
              <w:adjustRightInd w:val="0"/>
              <w:jc w:val="center"/>
              <w:rPr>
                <w:rFonts w:ascii="Times New Roman" w:hAnsi="Times New Roman" w:cs="Times New Roman"/>
                <w:sz w:val="24"/>
                <w:szCs w:val="24"/>
              </w:rPr>
            </w:pPr>
          </w:p>
        </w:tc>
      </w:tr>
      <w:tr w:rsidR="00272E29" w:rsidRPr="00832A36" w:rsidTr="007E45EE">
        <w:tc>
          <w:tcPr>
            <w:tcW w:w="817" w:type="dxa"/>
          </w:tcPr>
          <w:p w:rsidR="00272E29" w:rsidRPr="00832A36" w:rsidRDefault="00272E29" w:rsidP="007971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076</w:t>
            </w:r>
          </w:p>
        </w:tc>
        <w:tc>
          <w:tcPr>
            <w:tcW w:w="4678" w:type="dxa"/>
          </w:tcPr>
          <w:p w:rsidR="00272E29" w:rsidRPr="00832A36" w:rsidRDefault="00272E29" w:rsidP="007971EA">
            <w:pPr>
              <w:autoSpaceDE w:val="0"/>
              <w:autoSpaceDN w:val="0"/>
              <w:adjustRightInd w:val="0"/>
              <w:rPr>
                <w:rFonts w:ascii="Times New Roman" w:hAnsi="Times New Roman" w:cs="Times New Roman"/>
                <w:sz w:val="24"/>
                <w:szCs w:val="24"/>
              </w:rPr>
            </w:pPr>
            <w:r w:rsidRPr="00272E29">
              <w:rPr>
                <w:rFonts w:ascii="Times New Roman" w:hAnsi="Times New Roman" w:cs="Times New Roman"/>
                <w:sz w:val="24"/>
                <w:szCs w:val="24"/>
              </w:rPr>
              <w:t>Підприємництво, торгівля та біржова діяльність</w:t>
            </w:r>
          </w:p>
        </w:tc>
        <w:tc>
          <w:tcPr>
            <w:tcW w:w="1704" w:type="dxa"/>
            <w:vMerge/>
            <w:vAlign w:val="center"/>
          </w:tcPr>
          <w:p w:rsidR="00272E29" w:rsidRPr="00832A36" w:rsidRDefault="00272E29" w:rsidP="00272E29">
            <w:pPr>
              <w:autoSpaceDE w:val="0"/>
              <w:autoSpaceDN w:val="0"/>
              <w:adjustRightInd w:val="0"/>
              <w:jc w:val="center"/>
              <w:rPr>
                <w:rFonts w:ascii="Times New Roman" w:hAnsi="Times New Roman" w:cs="Times New Roman"/>
                <w:sz w:val="24"/>
                <w:szCs w:val="24"/>
              </w:rPr>
            </w:pPr>
          </w:p>
        </w:tc>
        <w:tc>
          <w:tcPr>
            <w:tcW w:w="2656" w:type="dxa"/>
            <w:vMerge/>
            <w:vAlign w:val="center"/>
          </w:tcPr>
          <w:p w:rsidR="00272E29" w:rsidRPr="00832A36" w:rsidRDefault="00272E29" w:rsidP="00272E29">
            <w:pPr>
              <w:autoSpaceDE w:val="0"/>
              <w:autoSpaceDN w:val="0"/>
              <w:adjustRightInd w:val="0"/>
              <w:jc w:val="center"/>
              <w:rPr>
                <w:rFonts w:ascii="Times New Roman" w:hAnsi="Times New Roman" w:cs="Times New Roman"/>
                <w:sz w:val="24"/>
                <w:szCs w:val="24"/>
              </w:rPr>
            </w:pPr>
          </w:p>
        </w:tc>
      </w:tr>
      <w:tr w:rsidR="00272E29" w:rsidRPr="00832A36" w:rsidTr="007E45EE">
        <w:tc>
          <w:tcPr>
            <w:tcW w:w="817" w:type="dxa"/>
          </w:tcPr>
          <w:p w:rsidR="00272E29" w:rsidRPr="00832A36" w:rsidRDefault="00272E29" w:rsidP="007971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193</w:t>
            </w:r>
          </w:p>
        </w:tc>
        <w:tc>
          <w:tcPr>
            <w:tcW w:w="4678" w:type="dxa"/>
          </w:tcPr>
          <w:p w:rsidR="00272E29" w:rsidRPr="00832A36" w:rsidRDefault="00272E29" w:rsidP="007971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Геодезія та землеустрій</w:t>
            </w:r>
          </w:p>
        </w:tc>
        <w:tc>
          <w:tcPr>
            <w:tcW w:w="1704" w:type="dxa"/>
            <w:vMerge/>
            <w:vAlign w:val="center"/>
          </w:tcPr>
          <w:p w:rsidR="00272E29" w:rsidRPr="00832A36" w:rsidRDefault="00272E29" w:rsidP="00272E29">
            <w:pPr>
              <w:autoSpaceDE w:val="0"/>
              <w:autoSpaceDN w:val="0"/>
              <w:adjustRightInd w:val="0"/>
              <w:jc w:val="center"/>
              <w:rPr>
                <w:rFonts w:ascii="Times New Roman" w:hAnsi="Times New Roman" w:cs="Times New Roman"/>
                <w:sz w:val="24"/>
                <w:szCs w:val="24"/>
              </w:rPr>
            </w:pPr>
          </w:p>
        </w:tc>
        <w:tc>
          <w:tcPr>
            <w:tcW w:w="2656" w:type="dxa"/>
            <w:vMerge/>
            <w:vAlign w:val="center"/>
          </w:tcPr>
          <w:p w:rsidR="00272E29" w:rsidRPr="00832A36" w:rsidRDefault="00272E29" w:rsidP="00272E29">
            <w:pPr>
              <w:autoSpaceDE w:val="0"/>
              <w:autoSpaceDN w:val="0"/>
              <w:adjustRightInd w:val="0"/>
              <w:jc w:val="center"/>
              <w:rPr>
                <w:rFonts w:ascii="Times New Roman" w:hAnsi="Times New Roman" w:cs="Times New Roman"/>
                <w:sz w:val="24"/>
                <w:szCs w:val="24"/>
              </w:rPr>
            </w:pPr>
          </w:p>
        </w:tc>
      </w:tr>
      <w:tr w:rsidR="00272E29" w:rsidRPr="00832A36" w:rsidTr="007E45EE">
        <w:tc>
          <w:tcPr>
            <w:tcW w:w="817" w:type="dxa"/>
          </w:tcPr>
          <w:p w:rsidR="00272E29" w:rsidRPr="00832A36" w:rsidRDefault="00272E29" w:rsidP="007971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122</w:t>
            </w:r>
          </w:p>
        </w:tc>
        <w:tc>
          <w:tcPr>
            <w:tcW w:w="4678" w:type="dxa"/>
          </w:tcPr>
          <w:p w:rsidR="00272E29" w:rsidRPr="00832A36" w:rsidRDefault="00272E29" w:rsidP="007971EA">
            <w:pPr>
              <w:autoSpaceDE w:val="0"/>
              <w:autoSpaceDN w:val="0"/>
              <w:adjustRightInd w:val="0"/>
              <w:rPr>
                <w:rFonts w:ascii="Times New Roman" w:hAnsi="Times New Roman" w:cs="Times New Roman"/>
                <w:sz w:val="24"/>
                <w:szCs w:val="24"/>
              </w:rPr>
            </w:pPr>
            <w:r w:rsidRPr="00272E29">
              <w:rPr>
                <w:rFonts w:ascii="Times New Roman" w:hAnsi="Times New Roman" w:cs="Times New Roman"/>
                <w:sz w:val="24"/>
                <w:szCs w:val="24"/>
              </w:rPr>
              <w:t>Комп’ютерні науки</w:t>
            </w:r>
          </w:p>
        </w:tc>
        <w:tc>
          <w:tcPr>
            <w:tcW w:w="1704" w:type="dxa"/>
            <w:vMerge/>
            <w:vAlign w:val="center"/>
          </w:tcPr>
          <w:p w:rsidR="00272E29" w:rsidRPr="00832A36" w:rsidRDefault="00272E29" w:rsidP="00272E29">
            <w:pPr>
              <w:autoSpaceDE w:val="0"/>
              <w:autoSpaceDN w:val="0"/>
              <w:adjustRightInd w:val="0"/>
              <w:jc w:val="center"/>
              <w:rPr>
                <w:rFonts w:ascii="Times New Roman" w:hAnsi="Times New Roman" w:cs="Times New Roman"/>
                <w:sz w:val="24"/>
                <w:szCs w:val="24"/>
              </w:rPr>
            </w:pPr>
          </w:p>
        </w:tc>
        <w:tc>
          <w:tcPr>
            <w:tcW w:w="2656" w:type="dxa"/>
            <w:vMerge/>
            <w:vAlign w:val="center"/>
          </w:tcPr>
          <w:p w:rsidR="00272E29" w:rsidRPr="00832A36" w:rsidRDefault="00272E29" w:rsidP="00272E29">
            <w:pPr>
              <w:autoSpaceDE w:val="0"/>
              <w:autoSpaceDN w:val="0"/>
              <w:adjustRightInd w:val="0"/>
              <w:jc w:val="center"/>
              <w:rPr>
                <w:rFonts w:ascii="Times New Roman" w:hAnsi="Times New Roman" w:cs="Times New Roman"/>
                <w:sz w:val="24"/>
                <w:szCs w:val="24"/>
              </w:rPr>
            </w:pPr>
          </w:p>
        </w:tc>
      </w:tr>
      <w:tr w:rsidR="00272E29" w:rsidRPr="00832A36" w:rsidTr="007E45EE">
        <w:trPr>
          <w:trHeight w:val="70"/>
        </w:trPr>
        <w:tc>
          <w:tcPr>
            <w:tcW w:w="817" w:type="dxa"/>
          </w:tcPr>
          <w:p w:rsidR="00272E29" w:rsidRPr="00832A36" w:rsidRDefault="00272E29" w:rsidP="007971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101</w:t>
            </w:r>
          </w:p>
        </w:tc>
        <w:tc>
          <w:tcPr>
            <w:tcW w:w="4678" w:type="dxa"/>
          </w:tcPr>
          <w:p w:rsidR="00272E29" w:rsidRPr="00832A36" w:rsidRDefault="00272E29" w:rsidP="007971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Екологія</w:t>
            </w:r>
          </w:p>
        </w:tc>
        <w:tc>
          <w:tcPr>
            <w:tcW w:w="1704" w:type="dxa"/>
            <w:vMerge w:val="restart"/>
            <w:vAlign w:val="center"/>
          </w:tcPr>
          <w:p w:rsidR="00272E29" w:rsidRPr="00272E29" w:rsidRDefault="00272E29" w:rsidP="00272E29">
            <w:pPr>
              <w:autoSpaceDE w:val="0"/>
              <w:autoSpaceDN w:val="0"/>
              <w:adjustRightInd w:val="0"/>
              <w:jc w:val="center"/>
              <w:rPr>
                <w:rFonts w:ascii="Times New Roman" w:hAnsi="Times New Roman" w:cs="Times New Roman"/>
                <w:sz w:val="24"/>
                <w:szCs w:val="24"/>
              </w:rPr>
            </w:pPr>
            <w:r w:rsidRPr="00272E29">
              <w:rPr>
                <w:rFonts w:ascii="Times New Roman" w:hAnsi="Times New Roman" w:cs="Times New Roman"/>
                <w:sz w:val="24"/>
                <w:szCs w:val="24"/>
              </w:rPr>
              <w:t>1. Українська мова</w:t>
            </w:r>
          </w:p>
          <w:p w:rsidR="00272E29" w:rsidRPr="00272E29" w:rsidRDefault="00272E29" w:rsidP="00272E29">
            <w:pPr>
              <w:autoSpaceDE w:val="0"/>
              <w:autoSpaceDN w:val="0"/>
              <w:adjustRightInd w:val="0"/>
              <w:jc w:val="center"/>
              <w:rPr>
                <w:rFonts w:ascii="Times New Roman" w:hAnsi="Times New Roman" w:cs="Times New Roman"/>
                <w:sz w:val="24"/>
                <w:szCs w:val="24"/>
              </w:rPr>
            </w:pPr>
            <w:r w:rsidRPr="00272E29">
              <w:rPr>
                <w:rFonts w:ascii="Times New Roman" w:hAnsi="Times New Roman" w:cs="Times New Roman"/>
                <w:sz w:val="24"/>
                <w:szCs w:val="24"/>
              </w:rPr>
              <w:t>2. Біологія</w:t>
            </w:r>
          </w:p>
          <w:p w:rsidR="00272E29" w:rsidRPr="00832A36" w:rsidRDefault="00272E29" w:rsidP="00272E29">
            <w:pPr>
              <w:autoSpaceDE w:val="0"/>
              <w:autoSpaceDN w:val="0"/>
              <w:adjustRightInd w:val="0"/>
              <w:jc w:val="center"/>
              <w:rPr>
                <w:rFonts w:ascii="Times New Roman" w:hAnsi="Times New Roman" w:cs="Times New Roman"/>
                <w:sz w:val="24"/>
                <w:szCs w:val="24"/>
              </w:rPr>
            </w:pPr>
            <w:r w:rsidRPr="00272E29">
              <w:rPr>
                <w:rFonts w:ascii="Times New Roman" w:hAnsi="Times New Roman" w:cs="Times New Roman"/>
                <w:sz w:val="24"/>
                <w:szCs w:val="24"/>
              </w:rPr>
              <w:t>3. Математика</w:t>
            </w:r>
          </w:p>
        </w:tc>
        <w:tc>
          <w:tcPr>
            <w:tcW w:w="2656" w:type="dxa"/>
            <w:vMerge w:val="restart"/>
            <w:vAlign w:val="center"/>
          </w:tcPr>
          <w:p w:rsidR="00272E29" w:rsidRPr="00272E29" w:rsidRDefault="00272E29" w:rsidP="00272E29">
            <w:pPr>
              <w:autoSpaceDE w:val="0"/>
              <w:autoSpaceDN w:val="0"/>
              <w:adjustRightInd w:val="0"/>
              <w:jc w:val="center"/>
              <w:rPr>
                <w:rFonts w:ascii="Times New Roman" w:hAnsi="Times New Roman" w:cs="Times New Roman"/>
                <w:sz w:val="24"/>
                <w:szCs w:val="24"/>
              </w:rPr>
            </w:pPr>
            <w:r w:rsidRPr="00272E29">
              <w:rPr>
                <w:rFonts w:ascii="Times New Roman" w:hAnsi="Times New Roman" w:cs="Times New Roman"/>
                <w:sz w:val="24"/>
                <w:szCs w:val="24"/>
              </w:rPr>
              <w:t>100</w:t>
            </w:r>
          </w:p>
          <w:p w:rsidR="00272E29" w:rsidRPr="00272E29" w:rsidRDefault="00272E29" w:rsidP="00272E29">
            <w:pPr>
              <w:autoSpaceDE w:val="0"/>
              <w:autoSpaceDN w:val="0"/>
              <w:adjustRightInd w:val="0"/>
              <w:jc w:val="center"/>
              <w:rPr>
                <w:rFonts w:ascii="Times New Roman" w:hAnsi="Times New Roman" w:cs="Times New Roman"/>
                <w:sz w:val="24"/>
                <w:szCs w:val="24"/>
              </w:rPr>
            </w:pPr>
            <w:r w:rsidRPr="00272E29">
              <w:rPr>
                <w:rFonts w:ascii="Times New Roman" w:hAnsi="Times New Roman" w:cs="Times New Roman"/>
                <w:sz w:val="24"/>
                <w:szCs w:val="24"/>
              </w:rPr>
              <w:t>100</w:t>
            </w:r>
          </w:p>
          <w:p w:rsidR="00272E29" w:rsidRPr="00832A36" w:rsidRDefault="00272E29" w:rsidP="00272E29">
            <w:pPr>
              <w:autoSpaceDE w:val="0"/>
              <w:autoSpaceDN w:val="0"/>
              <w:adjustRightInd w:val="0"/>
              <w:jc w:val="center"/>
              <w:rPr>
                <w:rFonts w:ascii="Times New Roman" w:hAnsi="Times New Roman" w:cs="Times New Roman"/>
                <w:sz w:val="24"/>
                <w:szCs w:val="24"/>
              </w:rPr>
            </w:pPr>
            <w:r w:rsidRPr="00272E29">
              <w:rPr>
                <w:rFonts w:ascii="Times New Roman" w:hAnsi="Times New Roman" w:cs="Times New Roman"/>
                <w:sz w:val="24"/>
                <w:szCs w:val="24"/>
              </w:rPr>
              <w:t>100</w:t>
            </w:r>
          </w:p>
        </w:tc>
      </w:tr>
      <w:tr w:rsidR="00272E29" w:rsidRPr="00832A36" w:rsidTr="007E45EE">
        <w:tc>
          <w:tcPr>
            <w:tcW w:w="817" w:type="dxa"/>
          </w:tcPr>
          <w:p w:rsidR="00272E29" w:rsidRPr="00832A36" w:rsidRDefault="00272E29" w:rsidP="007971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181</w:t>
            </w:r>
          </w:p>
        </w:tc>
        <w:tc>
          <w:tcPr>
            <w:tcW w:w="4678" w:type="dxa"/>
          </w:tcPr>
          <w:p w:rsidR="00272E29" w:rsidRPr="00832A36" w:rsidRDefault="00272E29" w:rsidP="007971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Харчові технології</w:t>
            </w:r>
          </w:p>
        </w:tc>
        <w:tc>
          <w:tcPr>
            <w:tcW w:w="1704" w:type="dxa"/>
            <w:vMerge/>
            <w:vAlign w:val="center"/>
          </w:tcPr>
          <w:p w:rsidR="00272E29" w:rsidRPr="00832A36" w:rsidRDefault="00272E29" w:rsidP="00272E29">
            <w:pPr>
              <w:autoSpaceDE w:val="0"/>
              <w:autoSpaceDN w:val="0"/>
              <w:adjustRightInd w:val="0"/>
              <w:jc w:val="center"/>
              <w:rPr>
                <w:rFonts w:ascii="Times New Roman" w:hAnsi="Times New Roman" w:cs="Times New Roman"/>
                <w:sz w:val="24"/>
                <w:szCs w:val="24"/>
              </w:rPr>
            </w:pPr>
          </w:p>
        </w:tc>
        <w:tc>
          <w:tcPr>
            <w:tcW w:w="2656" w:type="dxa"/>
            <w:vMerge/>
            <w:vAlign w:val="center"/>
          </w:tcPr>
          <w:p w:rsidR="00272E29" w:rsidRPr="00832A36" w:rsidRDefault="00272E29" w:rsidP="00272E29">
            <w:pPr>
              <w:autoSpaceDE w:val="0"/>
              <w:autoSpaceDN w:val="0"/>
              <w:adjustRightInd w:val="0"/>
              <w:jc w:val="center"/>
              <w:rPr>
                <w:rFonts w:ascii="Times New Roman" w:hAnsi="Times New Roman" w:cs="Times New Roman"/>
                <w:sz w:val="24"/>
                <w:szCs w:val="24"/>
              </w:rPr>
            </w:pPr>
          </w:p>
        </w:tc>
      </w:tr>
      <w:tr w:rsidR="00272E29" w:rsidRPr="00832A36" w:rsidTr="007E45EE">
        <w:tc>
          <w:tcPr>
            <w:tcW w:w="817" w:type="dxa"/>
          </w:tcPr>
          <w:p w:rsidR="00272E29" w:rsidRPr="00832A36" w:rsidRDefault="00272E29" w:rsidP="007971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w:t>
            </w:r>
          </w:p>
        </w:tc>
        <w:tc>
          <w:tcPr>
            <w:tcW w:w="4678" w:type="dxa"/>
          </w:tcPr>
          <w:p w:rsidR="00272E29" w:rsidRPr="00832A36" w:rsidRDefault="00272E29" w:rsidP="007971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Агрономія</w:t>
            </w:r>
          </w:p>
        </w:tc>
        <w:tc>
          <w:tcPr>
            <w:tcW w:w="1704" w:type="dxa"/>
            <w:vMerge/>
            <w:vAlign w:val="center"/>
          </w:tcPr>
          <w:p w:rsidR="00272E29" w:rsidRPr="00832A36" w:rsidRDefault="00272E29" w:rsidP="00272E29">
            <w:pPr>
              <w:autoSpaceDE w:val="0"/>
              <w:autoSpaceDN w:val="0"/>
              <w:adjustRightInd w:val="0"/>
              <w:jc w:val="center"/>
              <w:rPr>
                <w:rFonts w:ascii="Times New Roman" w:hAnsi="Times New Roman" w:cs="Times New Roman"/>
                <w:sz w:val="24"/>
                <w:szCs w:val="24"/>
              </w:rPr>
            </w:pPr>
          </w:p>
        </w:tc>
        <w:tc>
          <w:tcPr>
            <w:tcW w:w="2656" w:type="dxa"/>
            <w:vMerge/>
            <w:vAlign w:val="center"/>
          </w:tcPr>
          <w:p w:rsidR="00272E29" w:rsidRPr="00832A36" w:rsidRDefault="00272E29" w:rsidP="00272E29">
            <w:pPr>
              <w:autoSpaceDE w:val="0"/>
              <w:autoSpaceDN w:val="0"/>
              <w:adjustRightInd w:val="0"/>
              <w:jc w:val="center"/>
              <w:rPr>
                <w:rFonts w:ascii="Times New Roman" w:hAnsi="Times New Roman" w:cs="Times New Roman"/>
                <w:sz w:val="24"/>
                <w:szCs w:val="24"/>
              </w:rPr>
            </w:pPr>
          </w:p>
        </w:tc>
      </w:tr>
      <w:tr w:rsidR="00272E29" w:rsidRPr="00832A36" w:rsidTr="007E45EE">
        <w:tc>
          <w:tcPr>
            <w:tcW w:w="817" w:type="dxa"/>
          </w:tcPr>
          <w:p w:rsidR="00272E29" w:rsidRPr="00832A36" w:rsidRDefault="00272E29" w:rsidP="007971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202</w:t>
            </w:r>
          </w:p>
        </w:tc>
        <w:tc>
          <w:tcPr>
            <w:tcW w:w="4678" w:type="dxa"/>
          </w:tcPr>
          <w:p w:rsidR="00272E29" w:rsidRPr="00832A36" w:rsidRDefault="00272E29" w:rsidP="007971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Захист і карантин рослин</w:t>
            </w:r>
          </w:p>
        </w:tc>
        <w:tc>
          <w:tcPr>
            <w:tcW w:w="1704" w:type="dxa"/>
            <w:vMerge/>
            <w:vAlign w:val="center"/>
          </w:tcPr>
          <w:p w:rsidR="00272E29" w:rsidRPr="00832A36" w:rsidRDefault="00272E29" w:rsidP="00272E29">
            <w:pPr>
              <w:autoSpaceDE w:val="0"/>
              <w:autoSpaceDN w:val="0"/>
              <w:adjustRightInd w:val="0"/>
              <w:jc w:val="center"/>
              <w:rPr>
                <w:rFonts w:ascii="Times New Roman" w:hAnsi="Times New Roman" w:cs="Times New Roman"/>
                <w:sz w:val="24"/>
                <w:szCs w:val="24"/>
              </w:rPr>
            </w:pPr>
          </w:p>
        </w:tc>
        <w:tc>
          <w:tcPr>
            <w:tcW w:w="2656" w:type="dxa"/>
            <w:vMerge/>
            <w:vAlign w:val="center"/>
          </w:tcPr>
          <w:p w:rsidR="00272E29" w:rsidRPr="00832A36" w:rsidRDefault="00272E29" w:rsidP="00272E29">
            <w:pPr>
              <w:autoSpaceDE w:val="0"/>
              <w:autoSpaceDN w:val="0"/>
              <w:adjustRightInd w:val="0"/>
              <w:jc w:val="center"/>
              <w:rPr>
                <w:rFonts w:ascii="Times New Roman" w:hAnsi="Times New Roman" w:cs="Times New Roman"/>
                <w:sz w:val="24"/>
                <w:szCs w:val="24"/>
              </w:rPr>
            </w:pPr>
          </w:p>
        </w:tc>
      </w:tr>
      <w:tr w:rsidR="00272E29" w:rsidRPr="00832A36" w:rsidTr="007E45EE">
        <w:tc>
          <w:tcPr>
            <w:tcW w:w="817" w:type="dxa"/>
          </w:tcPr>
          <w:p w:rsidR="00272E29" w:rsidRPr="00832A36" w:rsidRDefault="00272E29" w:rsidP="007971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203</w:t>
            </w:r>
          </w:p>
        </w:tc>
        <w:tc>
          <w:tcPr>
            <w:tcW w:w="4678" w:type="dxa"/>
          </w:tcPr>
          <w:p w:rsidR="00272E29" w:rsidRPr="00832A36" w:rsidRDefault="00272E29" w:rsidP="007971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Садівництво та виноградництво</w:t>
            </w:r>
          </w:p>
        </w:tc>
        <w:tc>
          <w:tcPr>
            <w:tcW w:w="1704" w:type="dxa"/>
            <w:vMerge/>
            <w:vAlign w:val="center"/>
          </w:tcPr>
          <w:p w:rsidR="00272E29" w:rsidRPr="00832A36" w:rsidRDefault="00272E29" w:rsidP="00272E29">
            <w:pPr>
              <w:autoSpaceDE w:val="0"/>
              <w:autoSpaceDN w:val="0"/>
              <w:adjustRightInd w:val="0"/>
              <w:jc w:val="center"/>
              <w:rPr>
                <w:rFonts w:ascii="Times New Roman" w:hAnsi="Times New Roman" w:cs="Times New Roman"/>
                <w:sz w:val="24"/>
                <w:szCs w:val="24"/>
              </w:rPr>
            </w:pPr>
          </w:p>
        </w:tc>
        <w:tc>
          <w:tcPr>
            <w:tcW w:w="2656" w:type="dxa"/>
            <w:vMerge/>
            <w:vAlign w:val="center"/>
          </w:tcPr>
          <w:p w:rsidR="00272E29" w:rsidRPr="00832A36" w:rsidRDefault="00272E29" w:rsidP="00272E29">
            <w:pPr>
              <w:autoSpaceDE w:val="0"/>
              <w:autoSpaceDN w:val="0"/>
              <w:adjustRightInd w:val="0"/>
              <w:jc w:val="center"/>
              <w:rPr>
                <w:rFonts w:ascii="Times New Roman" w:hAnsi="Times New Roman" w:cs="Times New Roman"/>
                <w:sz w:val="24"/>
                <w:szCs w:val="24"/>
              </w:rPr>
            </w:pPr>
          </w:p>
        </w:tc>
      </w:tr>
      <w:tr w:rsidR="00272E29" w:rsidRPr="00832A36" w:rsidTr="007E45EE">
        <w:tc>
          <w:tcPr>
            <w:tcW w:w="817" w:type="dxa"/>
          </w:tcPr>
          <w:p w:rsidR="00272E29" w:rsidRPr="00832A36" w:rsidRDefault="00272E29" w:rsidP="007971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205</w:t>
            </w:r>
          </w:p>
        </w:tc>
        <w:tc>
          <w:tcPr>
            <w:tcW w:w="4678" w:type="dxa"/>
          </w:tcPr>
          <w:p w:rsidR="00272E29" w:rsidRPr="00832A36" w:rsidRDefault="00272E29" w:rsidP="007971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Лісове господарство</w:t>
            </w:r>
          </w:p>
        </w:tc>
        <w:tc>
          <w:tcPr>
            <w:tcW w:w="1704" w:type="dxa"/>
            <w:vMerge/>
            <w:vAlign w:val="center"/>
          </w:tcPr>
          <w:p w:rsidR="00272E29" w:rsidRPr="00832A36" w:rsidRDefault="00272E29" w:rsidP="00272E29">
            <w:pPr>
              <w:autoSpaceDE w:val="0"/>
              <w:autoSpaceDN w:val="0"/>
              <w:adjustRightInd w:val="0"/>
              <w:jc w:val="center"/>
              <w:rPr>
                <w:rFonts w:ascii="Times New Roman" w:hAnsi="Times New Roman" w:cs="Times New Roman"/>
                <w:sz w:val="24"/>
                <w:szCs w:val="24"/>
              </w:rPr>
            </w:pPr>
          </w:p>
        </w:tc>
        <w:tc>
          <w:tcPr>
            <w:tcW w:w="2656" w:type="dxa"/>
            <w:vMerge/>
            <w:vAlign w:val="center"/>
          </w:tcPr>
          <w:p w:rsidR="00272E29" w:rsidRPr="00832A36" w:rsidRDefault="00272E29" w:rsidP="00272E29">
            <w:pPr>
              <w:autoSpaceDE w:val="0"/>
              <w:autoSpaceDN w:val="0"/>
              <w:adjustRightInd w:val="0"/>
              <w:jc w:val="center"/>
              <w:rPr>
                <w:rFonts w:ascii="Times New Roman" w:hAnsi="Times New Roman" w:cs="Times New Roman"/>
                <w:sz w:val="24"/>
                <w:szCs w:val="24"/>
              </w:rPr>
            </w:pPr>
          </w:p>
        </w:tc>
      </w:tr>
      <w:tr w:rsidR="00272E29" w:rsidRPr="00832A36" w:rsidTr="007E45EE">
        <w:tc>
          <w:tcPr>
            <w:tcW w:w="817" w:type="dxa"/>
          </w:tcPr>
          <w:p w:rsidR="00272E29" w:rsidRPr="00832A36" w:rsidRDefault="00272E29" w:rsidP="007971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206</w:t>
            </w:r>
          </w:p>
        </w:tc>
        <w:tc>
          <w:tcPr>
            <w:tcW w:w="4678" w:type="dxa"/>
          </w:tcPr>
          <w:p w:rsidR="00272E29" w:rsidRPr="00832A36" w:rsidRDefault="00272E29" w:rsidP="007971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Садово-паркове</w:t>
            </w:r>
            <w:r w:rsidR="00AC34D9">
              <w:rPr>
                <w:rFonts w:ascii="Times New Roman" w:hAnsi="Times New Roman" w:cs="Times New Roman"/>
                <w:sz w:val="24"/>
                <w:szCs w:val="24"/>
              </w:rPr>
              <w:t xml:space="preserve"> господарство</w:t>
            </w:r>
          </w:p>
        </w:tc>
        <w:tc>
          <w:tcPr>
            <w:tcW w:w="1704" w:type="dxa"/>
            <w:vMerge/>
            <w:vAlign w:val="center"/>
          </w:tcPr>
          <w:p w:rsidR="00272E29" w:rsidRPr="00832A36" w:rsidRDefault="00272E29" w:rsidP="00272E29">
            <w:pPr>
              <w:autoSpaceDE w:val="0"/>
              <w:autoSpaceDN w:val="0"/>
              <w:adjustRightInd w:val="0"/>
              <w:jc w:val="center"/>
              <w:rPr>
                <w:rFonts w:ascii="Times New Roman" w:hAnsi="Times New Roman" w:cs="Times New Roman"/>
                <w:sz w:val="24"/>
                <w:szCs w:val="24"/>
              </w:rPr>
            </w:pPr>
          </w:p>
        </w:tc>
        <w:tc>
          <w:tcPr>
            <w:tcW w:w="2656" w:type="dxa"/>
            <w:vMerge/>
            <w:vAlign w:val="center"/>
          </w:tcPr>
          <w:p w:rsidR="00272E29" w:rsidRPr="00832A36" w:rsidRDefault="00272E29" w:rsidP="00272E29">
            <w:pPr>
              <w:autoSpaceDE w:val="0"/>
              <w:autoSpaceDN w:val="0"/>
              <w:adjustRightInd w:val="0"/>
              <w:jc w:val="center"/>
              <w:rPr>
                <w:rFonts w:ascii="Times New Roman" w:hAnsi="Times New Roman" w:cs="Times New Roman"/>
                <w:sz w:val="24"/>
                <w:szCs w:val="24"/>
              </w:rPr>
            </w:pPr>
          </w:p>
        </w:tc>
      </w:tr>
      <w:tr w:rsidR="00272E29" w:rsidRPr="00832A36" w:rsidTr="007E45EE">
        <w:tc>
          <w:tcPr>
            <w:tcW w:w="817" w:type="dxa"/>
          </w:tcPr>
          <w:p w:rsidR="00272E29" w:rsidRPr="00832A36" w:rsidRDefault="00272E29" w:rsidP="007971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208</w:t>
            </w:r>
          </w:p>
        </w:tc>
        <w:tc>
          <w:tcPr>
            <w:tcW w:w="4678" w:type="dxa"/>
          </w:tcPr>
          <w:p w:rsidR="00272E29" w:rsidRPr="00832A36" w:rsidRDefault="00272E29" w:rsidP="007971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Агроінженерія</w:t>
            </w:r>
          </w:p>
        </w:tc>
        <w:tc>
          <w:tcPr>
            <w:tcW w:w="1704" w:type="dxa"/>
            <w:vMerge/>
            <w:vAlign w:val="center"/>
          </w:tcPr>
          <w:p w:rsidR="00272E29" w:rsidRPr="00832A36" w:rsidRDefault="00272E29" w:rsidP="00272E29">
            <w:pPr>
              <w:autoSpaceDE w:val="0"/>
              <w:autoSpaceDN w:val="0"/>
              <w:adjustRightInd w:val="0"/>
              <w:jc w:val="center"/>
              <w:rPr>
                <w:rFonts w:ascii="Times New Roman" w:hAnsi="Times New Roman" w:cs="Times New Roman"/>
                <w:sz w:val="24"/>
                <w:szCs w:val="24"/>
              </w:rPr>
            </w:pPr>
          </w:p>
        </w:tc>
        <w:tc>
          <w:tcPr>
            <w:tcW w:w="2656" w:type="dxa"/>
            <w:vMerge/>
            <w:vAlign w:val="center"/>
          </w:tcPr>
          <w:p w:rsidR="00272E29" w:rsidRPr="00832A36" w:rsidRDefault="00272E29" w:rsidP="00272E29">
            <w:pPr>
              <w:autoSpaceDE w:val="0"/>
              <w:autoSpaceDN w:val="0"/>
              <w:adjustRightInd w:val="0"/>
              <w:jc w:val="center"/>
              <w:rPr>
                <w:rFonts w:ascii="Times New Roman" w:hAnsi="Times New Roman" w:cs="Times New Roman"/>
                <w:sz w:val="24"/>
                <w:szCs w:val="24"/>
              </w:rPr>
            </w:pPr>
          </w:p>
        </w:tc>
      </w:tr>
      <w:tr w:rsidR="00272E29" w:rsidRPr="00832A36" w:rsidTr="007E45EE">
        <w:tc>
          <w:tcPr>
            <w:tcW w:w="817" w:type="dxa"/>
          </w:tcPr>
          <w:p w:rsidR="00272E29" w:rsidRPr="00832A36" w:rsidRDefault="00272E29" w:rsidP="007971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091</w:t>
            </w:r>
          </w:p>
        </w:tc>
        <w:tc>
          <w:tcPr>
            <w:tcW w:w="4678" w:type="dxa"/>
          </w:tcPr>
          <w:p w:rsidR="00272E29" w:rsidRPr="00832A36" w:rsidRDefault="00272E29" w:rsidP="007971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Біологія</w:t>
            </w:r>
          </w:p>
        </w:tc>
        <w:tc>
          <w:tcPr>
            <w:tcW w:w="1704" w:type="dxa"/>
            <w:vMerge w:val="restart"/>
            <w:vAlign w:val="center"/>
          </w:tcPr>
          <w:p w:rsidR="00272E29" w:rsidRPr="00272E29" w:rsidRDefault="00272E29" w:rsidP="00272E29">
            <w:pPr>
              <w:autoSpaceDE w:val="0"/>
              <w:autoSpaceDN w:val="0"/>
              <w:adjustRightInd w:val="0"/>
              <w:jc w:val="center"/>
              <w:rPr>
                <w:rFonts w:ascii="Times New Roman" w:hAnsi="Times New Roman" w:cs="Times New Roman"/>
                <w:sz w:val="24"/>
                <w:szCs w:val="24"/>
              </w:rPr>
            </w:pPr>
            <w:r w:rsidRPr="00272E29">
              <w:rPr>
                <w:rFonts w:ascii="Times New Roman" w:hAnsi="Times New Roman" w:cs="Times New Roman"/>
                <w:sz w:val="24"/>
                <w:szCs w:val="24"/>
              </w:rPr>
              <w:t>1. Українська мова</w:t>
            </w:r>
          </w:p>
          <w:p w:rsidR="00272E29" w:rsidRPr="00272E29" w:rsidRDefault="00272E29" w:rsidP="00272E29">
            <w:pPr>
              <w:autoSpaceDE w:val="0"/>
              <w:autoSpaceDN w:val="0"/>
              <w:adjustRightInd w:val="0"/>
              <w:jc w:val="center"/>
              <w:rPr>
                <w:rFonts w:ascii="Times New Roman" w:hAnsi="Times New Roman" w:cs="Times New Roman"/>
                <w:sz w:val="24"/>
                <w:szCs w:val="24"/>
              </w:rPr>
            </w:pPr>
            <w:r w:rsidRPr="00272E29">
              <w:rPr>
                <w:rFonts w:ascii="Times New Roman" w:hAnsi="Times New Roman" w:cs="Times New Roman"/>
                <w:sz w:val="24"/>
                <w:szCs w:val="24"/>
              </w:rPr>
              <w:t>2. Біологія</w:t>
            </w:r>
          </w:p>
          <w:p w:rsidR="00272E29" w:rsidRPr="00832A36" w:rsidRDefault="00272E29" w:rsidP="00272E29">
            <w:pPr>
              <w:autoSpaceDE w:val="0"/>
              <w:autoSpaceDN w:val="0"/>
              <w:adjustRightInd w:val="0"/>
              <w:jc w:val="center"/>
              <w:rPr>
                <w:rFonts w:ascii="Times New Roman" w:hAnsi="Times New Roman" w:cs="Times New Roman"/>
                <w:sz w:val="24"/>
                <w:szCs w:val="24"/>
              </w:rPr>
            </w:pPr>
            <w:r w:rsidRPr="00272E29">
              <w:rPr>
                <w:rFonts w:ascii="Times New Roman" w:hAnsi="Times New Roman" w:cs="Times New Roman"/>
                <w:sz w:val="24"/>
                <w:szCs w:val="24"/>
              </w:rPr>
              <w:t>3. Географія</w:t>
            </w:r>
          </w:p>
        </w:tc>
        <w:tc>
          <w:tcPr>
            <w:tcW w:w="2656" w:type="dxa"/>
            <w:vMerge w:val="restart"/>
            <w:vAlign w:val="center"/>
          </w:tcPr>
          <w:p w:rsidR="00272E29" w:rsidRPr="00272E29" w:rsidRDefault="00272E29" w:rsidP="00272E29">
            <w:pPr>
              <w:autoSpaceDE w:val="0"/>
              <w:autoSpaceDN w:val="0"/>
              <w:adjustRightInd w:val="0"/>
              <w:jc w:val="center"/>
              <w:rPr>
                <w:rFonts w:ascii="Times New Roman" w:hAnsi="Times New Roman" w:cs="Times New Roman"/>
                <w:sz w:val="24"/>
                <w:szCs w:val="24"/>
              </w:rPr>
            </w:pPr>
            <w:r w:rsidRPr="00272E29">
              <w:rPr>
                <w:rFonts w:ascii="Times New Roman" w:hAnsi="Times New Roman" w:cs="Times New Roman"/>
                <w:sz w:val="24"/>
                <w:szCs w:val="24"/>
              </w:rPr>
              <w:t>100</w:t>
            </w:r>
          </w:p>
          <w:p w:rsidR="00272E29" w:rsidRPr="00272E29" w:rsidRDefault="00272E29" w:rsidP="00272E29">
            <w:pPr>
              <w:autoSpaceDE w:val="0"/>
              <w:autoSpaceDN w:val="0"/>
              <w:adjustRightInd w:val="0"/>
              <w:jc w:val="center"/>
              <w:rPr>
                <w:rFonts w:ascii="Times New Roman" w:hAnsi="Times New Roman" w:cs="Times New Roman"/>
                <w:sz w:val="24"/>
                <w:szCs w:val="24"/>
              </w:rPr>
            </w:pPr>
            <w:r w:rsidRPr="00272E29">
              <w:rPr>
                <w:rFonts w:ascii="Times New Roman" w:hAnsi="Times New Roman" w:cs="Times New Roman"/>
                <w:sz w:val="24"/>
                <w:szCs w:val="24"/>
              </w:rPr>
              <w:t>100</w:t>
            </w:r>
          </w:p>
          <w:p w:rsidR="00272E29" w:rsidRPr="00832A36" w:rsidRDefault="00272E29" w:rsidP="00272E29">
            <w:pPr>
              <w:autoSpaceDE w:val="0"/>
              <w:autoSpaceDN w:val="0"/>
              <w:adjustRightInd w:val="0"/>
              <w:jc w:val="center"/>
              <w:rPr>
                <w:rFonts w:ascii="Times New Roman" w:hAnsi="Times New Roman" w:cs="Times New Roman"/>
                <w:sz w:val="24"/>
                <w:szCs w:val="24"/>
              </w:rPr>
            </w:pPr>
            <w:r w:rsidRPr="00272E29">
              <w:rPr>
                <w:rFonts w:ascii="Times New Roman" w:hAnsi="Times New Roman" w:cs="Times New Roman"/>
                <w:sz w:val="24"/>
                <w:szCs w:val="24"/>
              </w:rPr>
              <w:t>100</w:t>
            </w:r>
          </w:p>
        </w:tc>
      </w:tr>
      <w:tr w:rsidR="00272E29" w:rsidRPr="00832A36" w:rsidTr="007E45EE">
        <w:tc>
          <w:tcPr>
            <w:tcW w:w="817" w:type="dxa"/>
          </w:tcPr>
          <w:p w:rsidR="00272E29" w:rsidRPr="00832A36" w:rsidRDefault="00272E29" w:rsidP="007971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241</w:t>
            </w:r>
          </w:p>
        </w:tc>
        <w:tc>
          <w:tcPr>
            <w:tcW w:w="4678" w:type="dxa"/>
          </w:tcPr>
          <w:p w:rsidR="00272E29" w:rsidRPr="00832A36" w:rsidRDefault="00272E29" w:rsidP="007971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Готельно-ресторанна справа</w:t>
            </w:r>
          </w:p>
        </w:tc>
        <w:tc>
          <w:tcPr>
            <w:tcW w:w="1704" w:type="dxa"/>
            <w:vMerge/>
          </w:tcPr>
          <w:p w:rsidR="00272E29" w:rsidRPr="00832A36" w:rsidRDefault="00272E29" w:rsidP="007971EA">
            <w:pPr>
              <w:autoSpaceDE w:val="0"/>
              <w:autoSpaceDN w:val="0"/>
              <w:adjustRightInd w:val="0"/>
              <w:rPr>
                <w:rFonts w:ascii="Times New Roman" w:hAnsi="Times New Roman" w:cs="Times New Roman"/>
                <w:sz w:val="24"/>
                <w:szCs w:val="24"/>
              </w:rPr>
            </w:pPr>
          </w:p>
        </w:tc>
        <w:tc>
          <w:tcPr>
            <w:tcW w:w="2656" w:type="dxa"/>
            <w:vMerge/>
          </w:tcPr>
          <w:p w:rsidR="00272E29" w:rsidRPr="00832A36" w:rsidRDefault="00272E29" w:rsidP="007971EA">
            <w:pPr>
              <w:autoSpaceDE w:val="0"/>
              <w:autoSpaceDN w:val="0"/>
              <w:adjustRightInd w:val="0"/>
              <w:rPr>
                <w:rFonts w:ascii="Times New Roman" w:hAnsi="Times New Roman" w:cs="Times New Roman"/>
                <w:sz w:val="24"/>
                <w:szCs w:val="24"/>
              </w:rPr>
            </w:pPr>
          </w:p>
        </w:tc>
      </w:tr>
      <w:tr w:rsidR="00272E29" w:rsidRPr="00832A36" w:rsidTr="007E45EE">
        <w:tc>
          <w:tcPr>
            <w:tcW w:w="817" w:type="dxa"/>
          </w:tcPr>
          <w:p w:rsidR="00272E29" w:rsidRPr="00832A36" w:rsidRDefault="00272E29" w:rsidP="007971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242</w:t>
            </w:r>
          </w:p>
        </w:tc>
        <w:tc>
          <w:tcPr>
            <w:tcW w:w="4678" w:type="dxa"/>
          </w:tcPr>
          <w:p w:rsidR="00272E29" w:rsidRPr="00832A36" w:rsidRDefault="00272E29" w:rsidP="007971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Туризм</w:t>
            </w:r>
          </w:p>
        </w:tc>
        <w:tc>
          <w:tcPr>
            <w:tcW w:w="1704" w:type="dxa"/>
            <w:vMerge/>
          </w:tcPr>
          <w:p w:rsidR="00272E29" w:rsidRPr="00832A36" w:rsidRDefault="00272E29" w:rsidP="007971EA">
            <w:pPr>
              <w:autoSpaceDE w:val="0"/>
              <w:autoSpaceDN w:val="0"/>
              <w:adjustRightInd w:val="0"/>
              <w:rPr>
                <w:rFonts w:ascii="Times New Roman" w:hAnsi="Times New Roman" w:cs="Times New Roman"/>
                <w:sz w:val="24"/>
                <w:szCs w:val="24"/>
              </w:rPr>
            </w:pPr>
          </w:p>
        </w:tc>
        <w:tc>
          <w:tcPr>
            <w:tcW w:w="2656" w:type="dxa"/>
            <w:vMerge/>
          </w:tcPr>
          <w:p w:rsidR="00272E29" w:rsidRPr="00832A36" w:rsidRDefault="00272E29" w:rsidP="007971EA">
            <w:pPr>
              <w:autoSpaceDE w:val="0"/>
              <w:autoSpaceDN w:val="0"/>
              <w:adjustRightInd w:val="0"/>
              <w:rPr>
                <w:rFonts w:ascii="Times New Roman" w:hAnsi="Times New Roman" w:cs="Times New Roman"/>
                <w:sz w:val="24"/>
                <w:szCs w:val="24"/>
              </w:rPr>
            </w:pPr>
          </w:p>
        </w:tc>
      </w:tr>
    </w:tbl>
    <w:p w:rsidR="000B4034" w:rsidRDefault="000B4034" w:rsidP="000B4034">
      <w:pPr>
        <w:autoSpaceDE w:val="0"/>
        <w:autoSpaceDN w:val="0"/>
        <w:adjustRightInd w:val="0"/>
        <w:spacing w:after="0" w:line="240" w:lineRule="auto"/>
        <w:ind w:firstLine="709"/>
        <w:jc w:val="both"/>
        <w:rPr>
          <w:rFonts w:ascii="Times New Roman" w:hAnsi="Times New Roman" w:cs="Times New Roman"/>
          <w:sz w:val="28"/>
          <w:szCs w:val="28"/>
        </w:rPr>
      </w:pPr>
    </w:p>
    <w:p w:rsidR="000B4034" w:rsidRDefault="000B4034" w:rsidP="000B4034">
      <w:pPr>
        <w:autoSpaceDE w:val="0"/>
        <w:autoSpaceDN w:val="0"/>
        <w:adjustRightInd w:val="0"/>
        <w:spacing w:after="0" w:line="240" w:lineRule="auto"/>
        <w:ind w:firstLine="709"/>
        <w:jc w:val="both"/>
        <w:rPr>
          <w:rFonts w:ascii="Times New Roman" w:hAnsi="Times New Roman" w:cs="Times New Roman"/>
          <w:sz w:val="28"/>
          <w:szCs w:val="28"/>
        </w:rPr>
      </w:pPr>
      <w:r w:rsidRPr="000B4034">
        <w:rPr>
          <w:rFonts w:ascii="Times New Roman" w:hAnsi="Times New Roman" w:cs="Times New Roman"/>
          <w:sz w:val="28"/>
          <w:szCs w:val="28"/>
        </w:rPr>
        <w:t xml:space="preserve">Результати кожного вступного випробування оцінюються за шкалою від 100 до 200 балів. В конкурсі беруть участь вступники, які за результатами кожного з вступних випробувань отримали 100 і більше балів. Конкурсний бал обчислюється як сума балів з визначеного предмету, мови навчання та середнього балу додатка до документа про попередньо здобуту освіту за 200 бальною шкалою та вноситься до Єдиної бази. У разі відсутності з об’єктивних причин додатка до документа про здобутий освітній ступінь (освітньо-кваліфікаційний рівень) його середній бал вважається таким, що відповідає мінімальному можливому значенню. </w:t>
      </w:r>
    </w:p>
    <w:p w:rsidR="000B4034" w:rsidRDefault="000B4034" w:rsidP="000B4034">
      <w:pPr>
        <w:autoSpaceDE w:val="0"/>
        <w:autoSpaceDN w:val="0"/>
        <w:adjustRightInd w:val="0"/>
        <w:spacing w:after="0" w:line="240" w:lineRule="auto"/>
        <w:ind w:firstLine="709"/>
        <w:jc w:val="both"/>
        <w:rPr>
          <w:rFonts w:ascii="Times New Roman" w:hAnsi="Times New Roman" w:cs="Times New Roman"/>
          <w:sz w:val="28"/>
          <w:szCs w:val="28"/>
        </w:rPr>
      </w:pPr>
      <w:r w:rsidRPr="000B4034">
        <w:rPr>
          <w:rFonts w:ascii="Times New Roman" w:hAnsi="Times New Roman" w:cs="Times New Roman"/>
          <w:sz w:val="28"/>
          <w:szCs w:val="28"/>
        </w:rPr>
        <w:t xml:space="preserve">18. Прийом на навчання для здобуття ступеня бакалавра на перший курс (зі скороченим терміном навчання) або на другий (третій) курс (з нормативним терміном навчання) на основі освітньо-кваліфікаційного рівня молодшого спеціаліста, здобутого за тією ж самою або спорідненою в межах галузі знань спеціальністю, здійснюється на конкурсній основі за результатами вступного випробування з мови навчання і фахового вступного випробування та з врахуванням середнього балу документа про здобутий освітній (освітньо-кваліфікаційний) рівень. </w:t>
      </w:r>
    </w:p>
    <w:p w:rsidR="000B4034" w:rsidRDefault="000B4034" w:rsidP="000B4034">
      <w:pPr>
        <w:autoSpaceDE w:val="0"/>
        <w:autoSpaceDN w:val="0"/>
        <w:adjustRightInd w:val="0"/>
        <w:spacing w:after="0" w:line="240" w:lineRule="auto"/>
        <w:ind w:firstLine="709"/>
        <w:jc w:val="both"/>
        <w:rPr>
          <w:rFonts w:ascii="Times New Roman" w:hAnsi="Times New Roman" w:cs="Times New Roman"/>
          <w:sz w:val="28"/>
          <w:szCs w:val="28"/>
        </w:rPr>
      </w:pPr>
      <w:r w:rsidRPr="000B4034">
        <w:rPr>
          <w:rFonts w:ascii="Times New Roman" w:hAnsi="Times New Roman" w:cs="Times New Roman"/>
          <w:sz w:val="28"/>
          <w:szCs w:val="28"/>
        </w:rPr>
        <w:t xml:space="preserve">Вступне випробування з мови навчання проводиться у формі тестування, має кваліфікаційний характер та передує фаховому вступному випробуванню. Вступне випробування з мови навчання оцінюється за двобальною шкалою – склав/не склав. У випадку, якщо вступник не склав вступне випробування з мови навчання, він не допускається до складання фахового вступного випробування і втрачає право брати учать у конкурсному відборі. </w:t>
      </w:r>
    </w:p>
    <w:p w:rsidR="000B4034" w:rsidRDefault="000B4034" w:rsidP="000B4034">
      <w:pPr>
        <w:autoSpaceDE w:val="0"/>
        <w:autoSpaceDN w:val="0"/>
        <w:adjustRightInd w:val="0"/>
        <w:spacing w:after="0" w:line="240" w:lineRule="auto"/>
        <w:ind w:firstLine="709"/>
        <w:jc w:val="both"/>
        <w:rPr>
          <w:rFonts w:ascii="Times New Roman" w:hAnsi="Times New Roman" w:cs="Times New Roman"/>
          <w:sz w:val="28"/>
          <w:szCs w:val="28"/>
        </w:rPr>
      </w:pPr>
      <w:r w:rsidRPr="000B4034">
        <w:rPr>
          <w:rFonts w:ascii="Times New Roman" w:hAnsi="Times New Roman" w:cs="Times New Roman"/>
          <w:sz w:val="28"/>
          <w:szCs w:val="28"/>
        </w:rPr>
        <w:t>Конкурсний бал обчислюється як сума результату фахового випробування (тестування, оцінка за шкалою від 100 до 200 балів) та середнього балу (за шкалою 60-100 балів) додатка до документа про здобутий освітній (освітньо-кваліфікаційний) рівень. В конкурсі беруть участь вступники, які за результатами кожного з вступних випробувань отримали 100 і більше балів. Конкурсний бал вноситься до Єдиної бази. У разі відсутності з об’єктивних причин додатка до документа про здобутий освітній ступінь (освітньо-кваліфікаційний рівень) його середній бал за шкалою 60-100 балів вв</w:t>
      </w:r>
      <w:r>
        <w:rPr>
          <w:rFonts w:ascii="Times New Roman" w:hAnsi="Times New Roman" w:cs="Times New Roman"/>
          <w:sz w:val="28"/>
          <w:szCs w:val="28"/>
        </w:rPr>
        <w:t>ажається таким, що дорівнює 60.</w:t>
      </w:r>
    </w:p>
    <w:p w:rsidR="000B4034" w:rsidRDefault="000B4034" w:rsidP="000B4034">
      <w:pPr>
        <w:autoSpaceDE w:val="0"/>
        <w:autoSpaceDN w:val="0"/>
        <w:adjustRightInd w:val="0"/>
        <w:spacing w:after="0" w:line="240" w:lineRule="auto"/>
        <w:ind w:firstLine="709"/>
        <w:jc w:val="both"/>
        <w:rPr>
          <w:rFonts w:ascii="Times New Roman" w:hAnsi="Times New Roman" w:cs="Times New Roman"/>
          <w:sz w:val="28"/>
          <w:szCs w:val="28"/>
        </w:rPr>
      </w:pPr>
      <w:r w:rsidRPr="000B4034">
        <w:rPr>
          <w:rFonts w:ascii="Times New Roman" w:hAnsi="Times New Roman" w:cs="Times New Roman"/>
          <w:sz w:val="28"/>
          <w:szCs w:val="28"/>
        </w:rPr>
        <w:t xml:space="preserve">При прийомі на навчання для здобуття ступеня бакалавра на перший курс (зі скороченим терміном навчання) або на другий (третій) курс (з нормативним терміном навчання) на основі освітньо-кваліфікаційного рівня молодшого спеціаліста (освітньо-кваліфікаційного рівня спеціаліста, ступеня бакалавра або магістра), здобутого за іншою спеціальністю, проводиться додаткове фахове вступне випробування. Додаткове фахове вступне випробування проводиться у формі тестування, має кваліфікаційний характер та передує фаховому </w:t>
      </w:r>
      <w:r w:rsidRPr="000B4034">
        <w:rPr>
          <w:rFonts w:ascii="Times New Roman" w:hAnsi="Times New Roman" w:cs="Times New Roman"/>
          <w:sz w:val="28"/>
          <w:szCs w:val="28"/>
        </w:rPr>
        <w:lastRenderedPageBreak/>
        <w:t xml:space="preserve">вступному випробуванню. Додаткове фахове вступне випробування оцінюється за двобальною шкалою – склав/не склав. У випадку, якщо вступник не склав додаткове фахове вступне випробування, він не допускається до складання фахового вступного випробування і втрачає право брати учать у конкурсному відборі. </w:t>
      </w:r>
    </w:p>
    <w:p w:rsidR="000B4034" w:rsidRDefault="000B4034" w:rsidP="000B4034">
      <w:pPr>
        <w:autoSpaceDE w:val="0"/>
        <w:autoSpaceDN w:val="0"/>
        <w:adjustRightInd w:val="0"/>
        <w:spacing w:after="0" w:line="240" w:lineRule="auto"/>
        <w:ind w:firstLine="709"/>
        <w:jc w:val="both"/>
        <w:rPr>
          <w:rFonts w:ascii="Times New Roman" w:hAnsi="Times New Roman" w:cs="Times New Roman"/>
          <w:sz w:val="28"/>
          <w:szCs w:val="28"/>
        </w:rPr>
      </w:pPr>
      <w:r w:rsidRPr="000B4034">
        <w:rPr>
          <w:rFonts w:ascii="Times New Roman" w:hAnsi="Times New Roman" w:cs="Times New Roman"/>
          <w:sz w:val="28"/>
          <w:szCs w:val="28"/>
        </w:rPr>
        <w:t xml:space="preserve">19. Прийом на навчання для здобуття ступеня магістра на основі ступеня бакалавра (освітньо-кваліфікаційного рівня спеціаліста) здійснюється на конкурсній основі за результатами фахового вступного випробування, вступного іспиту з іноземної мови і вступного випробування з мови навчання та з врахуванням середнього балу документа про здобутий освітній (освітньо-кваліфікаційний) рівень. Вступне випробування з мови вивчення проводиться у формі тестування має кваліфікаційний характер та передує іспиту з іноземної мови та фаховому вступному випробуванню. </w:t>
      </w:r>
    </w:p>
    <w:p w:rsidR="000B4034" w:rsidRDefault="000B4034" w:rsidP="000B4034">
      <w:pPr>
        <w:autoSpaceDE w:val="0"/>
        <w:autoSpaceDN w:val="0"/>
        <w:adjustRightInd w:val="0"/>
        <w:spacing w:after="0" w:line="240" w:lineRule="auto"/>
        <w:ind w:firstLine="709"/>
        <w:jc w:val="both"/>
        <w:rPr>
          <w:rFonts w:ascii="Times New Roman" w:hAnsi="Times New Roman" w:cs="Times New Roman"/>
          <w:sz w:val="28"/>
          <w:szCs w:val="28"/>
        </w:rPr>
      </w:pPr>
      <w:r w:rsidRPr="000B4034">
        <w:rPr>
          <w:rFonts w:ascii="Times New Roman" w:hAnsi="Times New Roman" w:cs="Times New Roman"/>
          <w:sz w:val="28"/>
          <w:szCs w:val="28"/>
        </w:rPr>
        <w:t xml:space="preserve">Вступне випробування з мови навчання оцінюється за двобальною шкалою – склав/не склав. У випадку, якщо вступник не склав вступне випробування з мови навчання, він не допускається до складання фахового вступного випробування та вступного іспиту з іноземної мови і втрачає право брати участь у конкурсному відборі. </w:t>
      </w:r>
    </w:p>
    <w:p w:rsidR="000B4034" w:rsidRDefault="000B4034" w:rsidP="000B4034">
      <w:pPr>
        <w:autoSpaceDE w:val="0"/>
        <w:autoSpaceDN w:val="0"/>
        <w:adjustRightInd w:val="0"/>
        <w:spacing w:after="0" w:line="240" w:lineRule="auto"/>
        <w:ind w:firstLine="709"/>
        <w:jc w:val="both"/>
        <w:rPr>
          <w:rFonts w:ascii="Times New Roman" w:hAnsi="Times New Roman" w:cs="Times New Roman"/>
          <w:sz w:val="28"/>
          <w:szCs w:val="28"/>
        </w:rPr>
      </w:pPr>
      <w:r w:rsidRPr="000B4034">
        <w:rPr>
          <w:rFonts w:ascii="Times New Roman" w:hAnsi="Times New Roman" w:cs="Times New Roman"/>
          <w:sz w:val="28"/>
          <w:szCs w:val="28"/>
        </w:rPr>
        <w:t>Конкурсний бал обчислюється як сума результату фахового випробування (тестування, оцінка за шкалою від 100 до 200 балів) та середнього балу (за шкалою 60-100 балів) додатка до документа про здобутий освітній (освітньо-кваліфікаційний) рівень. В конкурсі беруть участь вступники, які за результатами кожного з вступних випробувань отримали 100 і більше балів. Конкурсний бал вноситься до Єдиної бази. У разі відсутності з об’єктивних причин додатка до документа про здобутий освітній ступінь (освітньо-кваліфікаційний рівень) його середній бал за шкалою 60-100 балів вважається таким, що дорівнює 60.</w:t>
      </w:r>
    </w:p>
    <w:p w:rsidR="000B4034" w:rsidRDefault="000B4034" w:rsidP="000B4034">
      <w:pPr>
        <w:autoSpaceDE w:val="0"/>
        <w:autoSpaceDN w:val="0"/>
        <w:adjustRightInd w:val="0"/>
        <w:spacing w:after="0" w:line="240" w:lineRule="auto"/>
        <w:ind w:firstLine="709"/>
        <w:jc w:val="both"/>
        <w:rPr>
          <w:rFonts w:ascii="Times New Roman" w:hAnsi="Times New Roman" w:cs="Times New Roman"/>
          <w:sz w:val="28"/>
          <w:szCs w:val="28"/>
        </w:rPr>
      </w:pPr>
      <w:r w:rsidRPr="000B4034">
        <w:rPr>
          <w:rFonts w:ascii="Times New Roman" w:hAnsi="Times New Roman" w:cs="Times New Roman"/>
          <w:sz w:val="28"/>
          <w:szCs w:val="28"/>
        </w:rPr>
        <w:t xml:space="preserve"> При прийомі на навчання для здобуття ступеня магістра на основі ступеня бакалавра або магістра (освітньо-кваліфікаційного рівня спеціаліста) здобутого за іншою спеціальністю проводиться додаткове фахове вступне випробування. Додаткове фахове вступне випробування оцінюється за двобальною шкалою склав/не склав. У випадку, якщо вступник не склав додаткове фахове вступне випробування, він не допускається до складання фахового вступного випробування та вступного іспиту з іноземної мови і втрачає право брати участь у конкурсному відборі. </w:t>
      </w:r>
    </w:p>
    <w:p w:rsidR="000B4034" w:rsidRDefault="000B4034" w:rsidP="000B4034">
      <w:pPr>
        <w:autoSpaceDE w:val="0"/>
        <w:autoSpaceDN w:val="0"/>
        <w:adjustRightInd w:val="0"/>
        <w:spacing w:after="0" w:line="240" w:lineRule="auto"/>
        <w:ind w:firstLine="709"/>
        <w:jc w:val="both"/>
        <w:rPr>
          <w:rFonts w:ascii="Times New Roman" w:hAnsi="Times New Roman" w:cs="Times New Roman"/>
          <w:sz w:val="28"/>
          <w:szCs w:val="28"/>
        </w:rPr>
      </w:pPr>
      <w:r w:rsidRPr="000B4034">
        <w:rPr>
          <w:rFonts w:ascii="Times New Roman" w:hAnsi="Times New Roman" w:cs="Times New Roman"/>
          <w:sz w:val="28"/>
          <w:szCs w:val="28"/>
        </w:rPr>
        <w:t xml:space="preserve">20. Програми вступних випробувань обов’язково оприлюднюються на веб-сайті Уманського НУС. У програмах повинні міститися критерії оцінювання, структура оцінки і порядок оцінювання підготовленості вступників. </w:t>
      </w:r>
    </w:p>
    <w:p w:rsidR="000B4034" w:rsidRDefault="000B4034" w:rsidP="000B4034">
      <w:pPr>
        <w:autoSpaceDE w:val="0"/>
        <w:autoSpaceDN w:val="0"/>
        <w:adjustRightInd w:val="0"/>
        <w:spacing w:after="0" w:line="240" w:lineRule="auto"/>
        <w:ind w:firstLine="709"/>
        <w:jc w:val="both"/>
        <w:rPr>
          <w:rFonts w:ascii="Times New Roman" w:hAnsi="Times New Roman" w:cs="Times New Roman"/>
          <w:sz w:val="28"/>
          <w:szCs w:val="28"/>
        </w:rPr>
      </w:pPr>
      <w:r w:rsidRPr="000B4034">
        <w:rPr>
          <w:rFonts w:ascii="Times New Roman" w:hAnsi="Times New Roman" w:cs="Times New Roman"/>
          <w:sz w:val="28"/>
          <w:szCs w:val="28"/>
        </w:rPr>
        <w:t xml:space="preserve">21. Іноземці та особи без громадянства, які навчаються в Уманському НУС, мають право на навчання одночасно за декількома освітніми програмами, а також у декількох закладах вищої освіти. </w:t>
      </w:r>
    </w:p>
    <w:p w:rsidR="000B4034" w:rsidRDefault="000B4034" w:rsidP="000B4034">
      <w:pPr>
        <w:autoSpaceDE w:val="0"/>
        <w:autoSpaceDN w:val="0"/>
        <w:adjustRightInd w:val="0"/>
        <w:spacing w:after="0" w:line="240" w:lineRule="auto"/>
        <w:ind w:firstLine="709"/>
        <w:jc w:val="both"/>
        <w:rPr>
          <w:rFonts w:ascii="Times New Roman" w:hAnsi="Times New Roman" w:cs="Times New Roman"/>
          <w:sz w:val="28"/>
          <w:szCs w:val="28"/>
        </w:rPr>
      </w:pPr>
      <w:r w:rsidRPr="000B4034">
        <w:rPr>
          <w:rFonts w:ascii="Times New Roman" w:hAnsi="Times New Roman" w:cs="Times New Roman"/>
          <w:sz w:val="28"/>
          <w:szCs w:val="28"/>
        </w:rPr>
        <w:t xml:space="preserve">22. Порядок подання і розгляду апеляцій на результати вступних випробувань, що проведені Уманським НУС наведено в додатку 1 до Правил прийому на навчання до Уманського НУС в 2022 році. </w:t>
      </w:r>
    </w:p>
    <w:p w:rsidR="000B4034" w:rsidRDefault="000B4034" w:rsidP="000B4034">
      <w:pPr>
        <w:autoSpaceDE w:val="0"/>
        <w:autoSpaceDN w:val="0"/>
        <w:adjustRightInd w:val="0"/>
        <w:spacing w:after="0" w:line="240" w:lineRule="auto"/>
        <w:ind w:firstLine="709"/>
        <w:jc w:val="both"/>
        <w:rPr>
          <w:rFonts w:ascii="Times New Roman" w:hAnsi="Times New Roman" w:cs="Times New Roman"/>
          <w:sz w:val="28"/>
          <w:szCs w:val="28"/>
        </w:rPr>
      </w:pPr>
      <w:r w:rsidRPr="000B4034">
        <w:rPr>
          <w:rFonts w:ascii="Times New Roman" w:hAnsi="Times New Roman" w:cs="Times New Roman"/>
          <w:sz w:val="28"/>
          <w:szCs w:val="28"/>
        </w:rPr>
        <w:lastRenderedPageBreak/>
        <w:t xml:space="preserve">23. Наказ про зарахування на навчання видається ректором Уманського НУС на підставі рішення приймальної комісії. Накази про зарахування на навчання з додатками до них формуються в Єдиній базі. </w:t>
      </w:r>
    </w:p>
    <w:p w:rsidR="00D219D2" w:rsidRPr="000B4034" w:rsidRDefault="000B4034" w:rsidP="000B4034">
      <w:pPr>
        <w:autoSpaceDE w:val="0"/>
        <w:autoSpaceDN w:val="0"/>
        <w:adjustRightInd w:val="0"/>
        <w:spacing w:after="0" w:line="240" w:lineRule="auto"/>
        <w:ind w:firstLine="709"/>
        <w:jc w:val="both"/>
        <w:rPr>
          <w:rFonts w:ascii="Times New Roman" w:hAnsi="Times New Roman" w:cs="Times New Roman"/>
          <w:sz w:val="28"/>
          <w:szCs w:val="28"/>
        </w:rPr>
      </w:pPr>
      <w:r w:rsidRPr="000B4034">
        <w:rPr>
          <w:rFonts w:ascii="Times New Roman" w:hAnsi="Times New Roman" w:cs="Times New Roman"/>
          <w:sz w:val="28"/>
          <w:szCs w:val="28"/>
        </w:rPr>
        <w:t>24. Усім іноземцям, зарахованих на навчання до Уманського НУС на денну форму навчання, надаються місця в гуртожитку</w:t>
      </w:r>
    </w:p>
    <w:sectPr w:rsidR="00D219D2" w:rsidRPr="000B403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Bold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5F79"/>
    <w:multiLevelType w:val="hybridMultilevel"/>
    <w:tmpl w:val="34B0C0BC"/>
    <w:lvl w:ilvl="0" w:tplc="383237DA">
      <w:start w:val="1"/>
      <w:numFmt w:val="decimal"/>
      <w:lvlText w:val="%1."/>
      <w:lvlJc w:val="left"/>
      <w:pPr>
        <w:ind w:left="1804" w:hanging="109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A36"/>
    <w:rsid w:val="00027708"/>
    <w:rsid w:val="000362A9"/>
    <w:rsid w:val="000B4034"/>
    <w:rsid w:val="00247F2A"/>
    <w:rsid w:val="00272E29"/>
    <w:rsid w:val="003570B9"/>
    <w:rsid w:val="005321C1"/>
    <w:rsid w:val="00642680"/>
    <w:rsid w:val="007002CA"/>
    <w:rsid w:val="00706FBE"/>
    <w:rsid w:val="007958E4"/>
    <w:rsid w:val="007E45EE"/>
    <w:rsid w:val="00832A36"/>
    <w:rsid w:val="009F1C47"/>
    <w:rsid w:val="00AC34D9"/>
    <w:rsid w:val="00B95D30"/>
    <w:rsid w:val="00C00538"/>
    <w:rsid w:val="00CA08B6"/>
    <w:rsid w:val="00CD456C"/>
    <w:rsid w:val="00D219D2"/>
    <w:rsid w:val="00D62969"/>
    <w:rsid w:val="00D85EBC"/>
    <w:rsid w:val="00E36126"/>
    <w:rsid w:val="00E40652"/>
    <w:rsid w:val="00E443A3"/>
    <w:rsid w:val="00F565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0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77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0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7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8</Pages>
  <Words>12859</Words>
  <Characters>7330</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interoffice</dc:creator>
  <cp:lastModifiedBy>interoffice</cp:lastModifiedBy>
  <cp:revision>24</cp:revision>
  <dcterms:created xsi:type="dcterms:W3CDTF">2021-11-18T11:32:00Z</dcterms:created>
  <dcterms:modified xsi:type="dcterms:W3CDTF">2022-07-15T07:02:00Z</dcterms:modified>
</cp:coreProperties>
</file>