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093936" w:rsidP="008C611C">
      <w:pPr>
        <w:pStyle w:val="a9"/>
        <w:tabs>
          <w:tab w:val="left" w:pos="426"/>
        </w:tabs>
        <w:ind w:left="0"/>
        <w:jc w:val="center"/>
        <w:rPr>
          <w:rStyle w:val="31"/>
          <w:rFonts w:eastAsia="Arial Unicode MS"/>
          <w:b w:val="0"/>
          <w:bCs w:val="0"/>
          <w:sz w:val="44"/>
          <w:szCs w:val="28"/>
        </w:rPr>
      </w:pPr>
      <w:r w:rsidRPr="00324DC3">
        <w:rPr>
          <w:rStyle w:val="31"/>
          <w:rFonts w:eastAsia="Arial Unicode MS"/>
          <w:b w:val="0"/>
          <w:sz w:val="44"/>
          <w:szCs w:val="28"/>
        </w:rPr>
        <w:t>МІЖНАРОДН</w:t>
      </w:r>
      <w:r w:rsidR="00DA1C7B" w:rsidRPr="00324DC3">
        <w:rPr>
          <w:rStyle w:val="31"/>
          <w:rFonts w:eastAsia="Arial Unicode MS"/>
          <w:b w:val="0"/>
          <w:bCs w:val="0"/>
          <w:sz w:val="44"/>
          <w:szCs w:val="28"/>
        </w:rPr>
        <w:t>А</w:t>
      </w:r>
      <w:r w:rsidRPr="00324DC3">
        <w:rPr>
          <w:rStyle w:val="31"/>
          <w:rFonts w:eastAsia="Arial Unicode MS"/>
          <w:b w:val="0"/>
          <w:sz w:val="44"/>
          <w:szCs w:val="28"/>
        </w:rPr>
        <w:t xml:space="preserve"> </w:t>
      </w:r>
      <w:r w:rsidR="00DA1C7B" w:rsidRPr="00324DC3">
        <w:rPr>
          <w:rStyle w:val="31"/>
          <w:rFonts w:eastAsia="Arial Unicode MS"/>
          <w:b w:val="0"/>
          <w:bCs w:val="0"/>
          <w:sz w:val="44"/>
          <w:szCs w:val="28"/>
        </w:rPr>
        <w:t>ДІЯЛЬНІСТЬ</w:t>
      </w:r>
    </w:p>
    <w:p w:rsidR="00E170B0" w:rsidRPr="00324DC3" w:rsidRDefault="00AE2A85" w:rsidP="008C611C">
      <w:pPr>
        <w:pStyle w:val="a9"/>
        <w:tabs>
          <w:tab w:val="left" w:pos="426"/>
        </w:tabs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324DC3">
        <w:rPr>
          <w:rStyle w:val="31"/>
          <w:rFonts w:eastAsia="Arial Unicode MS"/>
          <w:b w:val="0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B76AB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B76AB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B76AB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37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3.1).</w:t>
      </w:r>
    </w:p>
    <w:p w:rsidR="00B76AB8" w:rsidRPr="00B76AB8" w:rsidRDefault="00B76AB8" w:rsidP="00B76AB8">
      <w:pPr>
        <w:pStyle w:val="a9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AB8">
        <w:rPr>
          <w:rFonts w:ascii="Times New Roman" w:hAnsi="Times New Roman" w:cs="Times New Roman"/>
          <w:i/>
          <w:sz w:val="28"/>
          <w:szCs w:val="28"/>
        </w:rPr>
        <w:t>Таблиця 3.1</w:t>
      </w:r>
    </w:p>
    <w:p w:rsidR="00B76AB8" w:rsidRPr="00B76AB8" w:rsidRDefault="00B76AB8" w:rsidP="00B76AB8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</w:t>
      </w:r>
      <w:r w:rsidRPr="00B76AB8">
        <w:rPr>
          <w:rFonts w:ascii="Times New Roman" w:hAnsi="Times New Roman" w:cs="Times New Roman"/>
          <w:b/>
          <w:sz w:val="28"/>
          <w:szCs w:val="28"/>
        </w:rPr>
        <w:t xml:space="preserve">авчальними, науковими та іншими </w:t>
      </w:r>
      <w:r w:rsidRPr="00B76AB8">
        <w:rPr>
          <w:rFonts w:ascii="Times New Roman" w:hAnsi="Times New Roman" w:cs="Times New Roman"/>
          <w:b/>
          <w:sz w:val="28"/>
          <w:szCs w:val="28"/>
        </w:rPr>
        <w:t>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5348"/>
        <w:gridCol w:w="2492"/>
      </w:tblGrid>
      <w:tr w:rsidR="002D0BA6" w:rsidRPr="002D0BA6" w:rsidTr="005531A8">
        <w:trPr>
          <w:trHeight w:val="172"/>
        </w:trPr>
        <w:tc>
          <w:tcPr>
            <w:tcW w:w="1663" w:type="dxa"/>
          </w:tcPr>
          <w:p w:rsidR="002D0BA6" w:rsidRPr="002D0BA6" w:rsidRDefault="002D0BA6" w:rsidP="004C4B0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  <w:tc>
          <w:tcPr>
            <w:tcW w:w="5348" w:type="dxa"/>
          </w:tcPr>
          <w:p w:rsidR="002D0BA6" w:rsidRPr="002D0BA6" w:rsidRDefault="002D0BA6" w:rsidP="004C4B0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492" w:type="dxa"/>
          </w:tcPr>
          <w:p w:rsidR="002D0BA6" w:rsidRPr="002D0BA6" w:rsidRDefault="002D0BA6" w:rsidP="004C4B0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Напрямок співпраці</w:t>
            </w:r>
          </w:p>
        </w:tc>
      </w:tr>
      <w:tr w:rsidR="002D0BA6" w:rsidRPr="002D0BA6" w:rsidTr="005531A8">
        <w:trPr>
          <w:trHeight w:val="172"/>
        </w:trPr>
        <w:tc>
          <w:tcPr>
            <w:tcW w:w="1663" w:type="dxa"/>
            <w:vAlign w:val="center"/>
          </w:tcPr>
          <w:p w:rsidR="002D0BA6" w:rsidRPr="002D0BA6" w:rsidRDefault="002D0BA6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Болгарія</w:t>
            </w:r>
          </w:p>
        </w:tc>
        <w:tc>
          <w:tcPr>
            <w:tcW w:w="5348" w:type="dxa"/>
            <w:vAlign w:val="center"/>
          </w:tcPr>
          <w:p w:rsidR="002D0BA6" w:rsidRPr="002D0BA6" w:rsidRDefault="002D0BA6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Господарська академія ім.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BA6">
              <w:rPr>
                <w:rFonts w:ascii="Times New Roman" w:hAnsi="Times New Roman" w:cs="Times New Roman"/>
                <w:sz w:val="28"/>
                <w:szCs w:val="28"/>
              </w:rPr>
              <w:t>Ценова</w:t>
            </w:r>
            <w:proofErr w:type="spellEnd"/>
          </w:p>
        </w:tc>
        <w:tc>
          <w:tcPr>
            <w:tcW w:w="2492" w:type="dxa"/>
            <w:vAlign w:val="center"/>
          </w:tcPr>
          <w:p w:rsidR="002D0BA6" w:rsidRPr="002D0BA6" w:rsidRDefault="00983CE0" w:rsidP="002D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2D0BA6" w:rsidRPr="002D0BA6" w:rsidTr="005531A8">
        <w:trPr>
          <w:trHeight w:val="172"/>
        </w:trPr>
        <w:tc>
          <w:tcPr>
            <w:tcW w:w="1663" w:type="dxa"/>
            <w:vAlign w:val="center"/>
          </w:tcPr>
          <w:p w:rsidR="002D0BA6" w:rsidRPr="002D0BA6" w:rsidRDefault="002D0BA6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Білорусь</w:t>
            </w:r>
          </w:p>
        </w:tc>
        <w:tc>
          <w:tcPr>
            <w:tcW w:w="5348" w:type="dxa"/>
            <w:vAlign w:val="center"/>
          </w:tcPr>
          <w:p w:rsidR="002D0BA6" w:rsidRPr="002D0BA6" w:rsidRDefault="002D0BA6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Білоруський державний аграрний технічний університет</w:t>
            </w:r>
          </w:p>
        </w:tc>
        <w:tc>
          <w:tcPr>
            <w:tcW w:w="2492" w:type="dxa"/>
            <w:vAlign w:val="center"/>
          </w:tcPr>
          <w:p w:rsidR="002D0BA6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Державна Вища Професійна Школа ім. Яна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Гродка</w:t>
            </w:r>
            <w:proofErr w:type="spellEnd"/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Природничий університет у м. Вроцлав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Державна вища школа ім. Папи Павла ІІ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Аграрний університет ім.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Хугона</w:t>
            </w:r>
            <w:proofErr w:type="spellEnd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Колонтая</w:t>
            </w:r>
            <w:proofErr w:type="spellEnd"/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Державна вища школа професійної освіти,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Державна вища професійна школа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Варшавський університет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7CF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Варшавський університет менеджменту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53130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Росія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Кубанський державний аграрний університет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8B0F8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Тираспольський аграрно-технічний коледж ім. М.Ф. Фрунзе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8B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5348" w:type="dxa"/>
            <w:vAlign w:val="center"/>
          </w:tcPr>
          <w:p w:rsidR="00C737CF" w:rsidRPr="002D0BA6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8B0F83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Вища національна сільськогосподарська </w:t>
            </w:r>
            <w:r w:rsidRPr="0032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Німеччина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Університет прикладних наук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Нойбранденбург</w:t>
            </w:r>
            <w:proofErr w:type="spellEnd"/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Чехія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Університет Менделя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Чехія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Університет Південної Богемії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Таїланд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університет короля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Монгкута</w:t>
            </w:r>
            <w:proofErr w:type="spellEnd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Тонбурі</w:t>
            </w:r>
            <w:proofErr w:type="spellEnd"/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Монголія</w:t>
            </w:r>
          </w:p>
        </w:tc>
        <w:tc>
          <w:tcPr>
            <w:tcW w:w="5348" w:type="dxa"/>
            <w:vAlign w:val="center"/>
          </w:tcPr>
          <w:p w:rsidR="00C737CF" w:rsidRPr="00324DC3" w:rsidRDefault="00C737CF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Монгольський державний сільськогосподарський університет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Наукова та навчальна співпраця</w:t>
            </w:r>
          </w:p>
        </w:tc>
      </w:tr>
      <w:tr w:rsidR="00C737CF" w:rsidRPr="002D0BA6" w:rsidTr="005531A8">
        <w:trPr>
          <w:trHeight w:val="172"/>
        </w:trPr>
        <w:tc>
          <w:tcPr>
            <w:tcW w:w="1663" w:type="dxa"/>
            <w:vAlign w:val="center"/>
          </w:tcPr>
          <w:p w:rsidR="00C737CF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Німеччина</w:t>
            </w:r>
          </w:p>
        </w:tc>
        <w:tc>
          <w:tcPr>
            <w:tcW w:w="5348" w:type="dxa"/>
            <w:vAlign w:val="center"/>
          </w:tcPr>
          <w:p w:rsidR="00C737CF" w:rsidRPr="00324DC3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 стажування: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Німецький Селянський Союз, приватні фермерські господарства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Штоппеля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Шумахера</w:t>
            </w:r>
            <w:proofErr w:type="spellEnd"/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C737CF" w:rsidRPr="002D0BA6" w:rsidTr="005531A8">
        <w:trPr>
          <w:trHeight w:val="666"/>
        </w:trPr>
        <w:tc>
          <w:tcPr>
            <w:tcW w:w="1663" w:type="dxa"/>
            <w:vAlign w:val="center"/>
          </w:tcPr>
          <w:p w:rsidR="00C737CF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Фінляндія</w:t>
            </w:r>
          </w:p>
        </w:tc>
        <w:tc>
          <w:tcPr>
            <w:tcW w:w="5348" w:type="dxa"/>
            <w:vAlign w:val="center"/>
          </w:tcPr>
          <w:p w:rsidR="00C737CF" w:rsidRPr="00324DC3" w:rsidRDefault="00983CE0" w:rsidP="00983CE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СІМО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C737CF" w:rsidRPr="002D0BA6" w:rsidTr="005531A8">
        <w:trPr>
          <w:trHeight w:val="562"/>
        </w:trPr>
        <w:tc>
          <w:tcPr>
            <w:tcW w:w="1663" w:type="dxa"/>
            <w:vAlign w:val="center"/>
          </w:tcPr>
          <w:p w:rsidR="00C737CF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5348" w:type="dxa"/>
            <w:vAlign w:val="center"/>
          </w:tcPr>
          <w:p w:rsidR="00C737CF" w:rsidRPr="00324DC3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САЕП, ІЛС</w:t>
            </w:r>
          </w:p>
        </w:tc>
        <w:tc>
          <w:tcPr>
            <w:tcW w:w="2492" w:type="dxa"/>
            <w:vAlign w:val="center"/>
          </w:tcPr>
          <w:p w:rsidR="00C737CF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54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Австралія</w:t>
            </w:r>
          </w:p>
        </w:tc>
        <w:tc>
          <w:tcPr>
            <w:tcW w:w="5348" w:type="dxa"/>
            <w:vAlign w:val="center"/>
          </w:tcPr>
          <w:p w:rsidR="00983CE0" w:rsidRPr="00324DC3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САЕП</w:t>
            </w:r>
          </w:p>
        </w:tc>
        <w:tc>
          <w:tcPr>
            <w:tcW w:w="2492" w:type="dxa"/>
            <w:vAlign w:val="center"/>
          </w:tcPr>
          <w:p w:rsidR="00983CE0" w:rsidRPr="002D0BA6" w:rsidRDefault="00983CE0" w:rsidP="004E27D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Швеція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ІЛС</w:t>
            </w:r>
          </w:p>
        </w:tc>
        <w:tc>
          <w:tcPr>
            <w:tcW w:w="2492" w:type="dxa"/>
            <w:vAlign w:val="center"/>
          </w:tcPr>
          <w:p w:rsidR="00983CE0" w:rsidRPr="002D0BA6" w:rsidRDefault="00983CE0" w:rsidP="004E27D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4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Швейцарія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Агроімпульс</w:t>
            </w:r>
            <w:proofErr w:type="spellEnd"/>
          </w:p>
        </w:tc>
        <w:tc>
          <w:tcPr>
            <w:tcW w:w="2492" w:type="dxa"/>
            <w:vAlign w:val="center"/>
          </w:tcPr>
          <w:p w:rsidR="00983CE0" w:rsidRPr="002D0BA6" w:rsidRDefault="00983CE0" w:rsidP="004E27D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Нідерланди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СтіхтінгАутвісселінг</w:t>
            </w:r>
            <w:proofErr w:type="spellEnd"/>
          </w:p>
        </w:tc>
        <w:tc>
          <w:tcPr>
            <w:tcW w:w="2492" w:type="dxa"/>
            <w:vAlign w:val="center"/>
          </w:tcPr>
          <w:p w:rsidR="00983CE0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  <w:proofErr w:type="spellEnd"/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Садівниче господарство «Плантація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  <w:vAlign w:val="center"/>
          </w:tcPr>
          <w:p w:rsidR="00983CE0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Ісфрада</w:t>
            </w:r>
            <w:proofErr w:type="spellEnd"/>
          </w:p>
        </w:tc>
        <w:tc>
          <w:tcPr>
            <w:tcW w:w="2492" w:type="dxa"/>
            <w:vAlign w:val="center"/>
          </w:tcPr>
          <w:p w:rsidR="00983CE0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</w:t>
            </w:r>
            <w:r>
              <w:rPr>
                <w:rFonts w:ascii="Times New Roman" w:hAnsi="Times New Roman" w:cs="Times New Roman"/>
                <w:szCs w:val="28"/>
              </w:rPr>
              <w:t xml:space="preserve"> випускників</w:t>
            </w:r>
            <w:r w:rsidRPr="00983CE0">
              <w:rPr>
                <w:rFonts w:ascii="Times New Roman" w:hAnsi="Times New Roman" w:cs="Times New Roman"/>
                <w:szCs w:val="28"/>
              </w:rPr>
              <w:t>, працевлаштування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МАСТ, САЕП</w:t>
            </w:r>
          </w:p>
        </w:tc>
        <w:tc>
          <w:tcPr>
            <w:tcW w:w="2492" w:type="dxa"/>
            <w:vAlign w:val="center"/>
          </w:tcPr>
          <w:p w:rsidR="00983CE0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Італія</w:t>
            </w:r>
          </w:p>
        </w:tc>
        <w:tc>
          <w:tcPr>
            <w:tcW w:w="5348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Садівниче господарство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Батістіні</w:t>
            </w:r>
            <w:proofErr w:type="spellEnd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Вівай</w:t>
            </w:r>
            <w:proofErr w:type="spellEnd"/>
          </w:p>
        </w:tc>
        <w:tc>
          <w:tcPr>
            <w:tcW w:w="2492" w:type="dxa"/>
            <w:vAlign w:val="center"/>
          </w:tcPr>
          <w:p w:rsidR="00983CE0" w:rsidRPr="002D0BA6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>Стажування студентів</w:t>
            </w:r>
          </w:p>
        </w:tc>
      </w:tr>
      <w:tr w:rsidR="00983CE0" w:rsidRPr="002D0BA6" w:rsidTr="005531A8">
        <w:trPr>
          <w:trHeight w:val="172"/>
        </w:trPr>
        <w:tc>
          <w:tcPr>
            <w:tcW w:w="1663" w:type="dxa"/>
            <w:vAlign w:val="center"/>
          </w:tcPr>
          <w:p w:rsidR="00983CE0" w:rsidRDefault="00983CE0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5348" w:type="dxa"/>
            <w:vAlign w:val="center"/>
          </w:tcPr>
          <w:p w:rsidR="00983CE0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між факультетського обміну</w:t>
            </w:r>
          </w:p>
        </w:tc>
        <w:tc>
          <w:tcPr>
            <w:tcW w:w="2492" w:type="dxa"/>
            <w:vAlign w:val="center"/>
          </w:tcPr>
          <w:p w:rsidR="00983CE0" w:rsidRPr="002D0BA6" w:rsidRDefault="00983CE0" w:rsidP="00983CE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0">
              <w:rPr>
                <w:rFonts w:ascii="Times New Roman" w:hAnsi="Times New Roman" w:cs="Times New Roman"/>
                <w:szCs w:val="28"/>
              </w:rPr>
              <w:t xml:space="preserve">Стажування </w:t>
            </w:r>
            <w:r>
              <w:rPr>
                <w:rFonts w:ascii="Times New Roman" w:hAnsi="Times New Roman" w:cs="Times New Roman"/>
                <w:szCs w:val="28"/>
              </w:rPr>
              <w:t>молодих вчених. аспірантів</w:t>
            </w:r>
          </w:p>
        </w:tc>
      </w:tr>
      <w:tr w:rsidR="00983CE0" w:rsidRPr="002D0BA6" w:rsidTr="005531A8">
        <w:trPr>
          <w:trHeight w:val="478"/>
        </w:trPr>
        <w:tc>
          <w:tcPr>
            <w:tcW w:w="1663" w:type="dxa"/>
            <w:vAlign w:val="center"/>
          </w:tcPr>
          <w:p w:rsidR="00983CE0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5348" w:type="dxa"/>
            <w:vAlign w:val="center"/>
          </w:tcPr>
          <w:p w:rsidR="00983CE0" w:rsidRDefault="00214A6D" w:rsidP="00214A6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Фірма </w:t>
            </w:r>
            <w:r w:rsidRPr="00214A6D">
              <w:rPr>
                <w:rFonts w:ascii="Times New Roman" w:hAnsi="Times New Roman" w:cs="Times New Roman"/>
                <w:sz w:val="28"/>
                <w:szCs w:val="28"/>
              </w:rPr>
              <w:t>«ТЗОА АТЕНА»</w:t>
            </w:r>
          </w:p>
        </w:tc>
        <w:tc>
          <w:tcPr>
            <w:tcW w:w="2492" w:type="dxa"/>
            <w:vAlign w:val="center"/>
          </w:tcPr>
          <w:p w:rsidR="00983CE0" w:rsidRPr="00166A38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Cs w:val="28"/>
              </w:rPr>
            </w:pPr>
            <w:r w:rsidRPr="00166A38">
              <w:rPr>
                <w:rFonts w:ascii="Times New Roman" w:hAnsi="Times New Roman" w:cs="Times New Roman"/>
                <w:szCs w:val="28"/>
              </w:rPr>
              <w:t>Наукова співпраця</w:t>
            </w:r>
          </w:p>
        </w:tc>
      </w:tr>
      <w:tr w:rsidR="00983CE0" w:rsidRPr="002D0BA6" w:rsidTr="005531A8">
        <w:trPr>
          <w:trHeight w:val="582"/>
        </w:trPr>
        <w:tc>
          <w:tcPr>
            <w:tcW w:w="1663" w:type="dxa"/>
            <w:vAlign w:val="center"/>
          </w:tcPr>
          <w:p w:rsidR="00983CE0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Швейцарія</w:t>
            </w:r>
          </w:p>
        </w:tc>
        <w:tc>
          <w:tcPr>
            <w:tcW w:w="5348" w:type="dxa"/>
            <w:vAlign w:val="center"/>
          </w:tcPr>
          <w:p w:rsidR="00983CE0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Фірма «ФМС </w:t>
            </w:r>
            <w:proofErr w:type="spellStart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>Кемікал</w:t>
            </w:r>
            <w:proofErr w:type="spellEnd"/>
            <w:r w:rsidRPr="00324DC3">
              <w:rPr>
                <w:rFonts w:ascii="Times New Roman" w:hAnsi="Times New Roman" w:cs="Times New Roman"/>
                <w:sz w:val="28"/>
                <w:szCs w:val="28"/>
              </w:rPr>
              <w:t xml:space="preserve"> Інтернешнл АГ»</w:t>
            </w:r>
          </w:p>
        </w:tc>
        <w:tc>
          <w:tcPr>
            <w:tcW w:w="2492" w:type="dxa"/>
            <w:vAlign w:val="center"/>
          </w:tcPr>
          <w:p w:rsidR="00983CE0" w:rsidRPr="00166A38" w:rsidRDefault="00166A38" w:rsidP="002D0BA6">
            <w:pPr>
              <w:pStyle w:val="a9"/>
              <w:ind w:left="0"/>
              <w:rPr>
                <w:rFonts w:ascii="Times New Roman" w:hAnsi="Times New Roman" w:cs="Times New Roman"/>
                <w:szCs w:val="28"/>
              </w:rPr>
            </w:pPr>
            <w:r w:rsidRPr="00166A38">
              <w:rPr>
                <w:rFonts w:ascii="Times New Roman" w:hAnsi="Times New Roman" w:cs="Times New Roman"/>
                <w:szCs w:val="28"/>
              </w:rPr>
              <w:t>Наукова співпраця</w:t>
            </w:r>
          </w:p>
        </w:tc>
      </w:tr>
    </w:tbl>
    <w:p w:rsidR="007125F5" w:rsidRDefault="007125F5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76AB8" w:rsidRPr="00324DC3" w:rsidRDefault="00B76AB8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4C4B07" w:rsidRDefault="003157A5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відряджено 65 студентів, 1 аспірант та 36 викладачів. Географія країн, що приймали наших студентів, аспірантів, викладачів та науковців у 2015р. досить широка: Польща, Німеччина, Італія, Нідерланди, Чехія, Бельгія, </w:t>
      </w:r>
      <w:r w:rsidR="00B76AB8">
        <w:rPr>
          <w:rFonts w:ascii="Times New Roman" w:hAnsi="Times New Roman" w:cs="Times New Roman"/>
          <w:sz w:val="28"/>
          <w:szCs w:val="28"/>
        </w:rPr>
        <w:t>Австрія, Швейцарія, США, Уганда</w:t>
      </w:r>
      <w:r w:rsidR="00B943E1" w:rsidRPr="00324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53A" w:rsidRPr="00324DC3" w:rsidRDefault="0045253A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>
        <w:rPr>
          <w:rFonts w:ascii="Times New Roman" w:hAnsi="Times New Roman" w:cs="Times New Roman"/>
          <w:sz w:val="28"/>
          <w:szCs w:val="28"/>
        </w:rPr>
        <w:t>Незважаючи на</w:t>
      </w:r>
      <w:r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5531A8">
        <w:rPr>
          <w:rFonts w:ascii="Times New Roman" w:hAnsi="Times New Roman" w:cs="Times New Roman"/>
          <w:sz w:val="28"/>
          <w:szCs w:val="28"/>
        </w:rPr>
        <w:t>зростає</w:t>
      </w:r>
      <w:r w:rsidR="00B76AB8">
        <w:rPr>
          <w:rFonts w:ascii="Times New Roman" w:hAnsi="Times New Roman" w:cs="Times New Roman"/>
          <w:sz w:val="28"/>
          <w:szCs w:val="28"/>
        </w:rPr>
        <w:t> (Рис.</w:t>
      </w:r>
      <w:r w:rsidRPr="00324DC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5253A" w:rsidRPr="00324DC3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324DC3" w:rsidRDefault="00214A6D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 w:bidi="ar-SA"/>
        </w:rPr>
        <w:drawing>
          <wp:inline distT="0" distB="0" distL="0" distR="0" wp14:anchorId="4DD07DE1" wp14:editId="3009E959">
            <wp:extent cx="5737860" cy="27813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253A" w:rsidRDefault="0045253A" w:rsidP="004C4B07">
      <w:pPr>
        <w:pStyle w:val="a9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 </w:t>
      </w:r>
      <w:r w:rsidR="005531A8" w:rsidRPr="005531A8">
        <w:rPr>
          <w:rFonts w:ascii="Times New Roman" w:hAnsi="Times New Roman" w:cs="Times New Roman"/>
          <w:b/>
          <w:sz w:val="28"/>
          <w:szCs w:val="28"/>
        </w:rPr>
        <w:t>Рис. 3.1. Динаміка стажування студентів Уманського НУС за кордоном</w:t>
      </w:r>
    </w:p>
    <w:p w:rsidR="005531A8" w:rsidRPr="005531A8" w:rsidRDefault="005531A8" w:rsidP="004C4B07">
      <w:pPr>
        <w:pStyle w:val="a9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bookmarkStart w:id="0" w:name="_GoBack"/>
      <w:bookmarkEnd w:id="0"/>
      <w:r w:rsidRPr="00B76AB8">
        <w:rPr>
          <w:rFonts w:ascii="Times New Roman" w:eastAsia="Tahoma" w:hAnsi="Times New Roman" w:cs="Times New Roman"/>
          <w:b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різноманітних тематичних заходах.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У 2015 році університет взяв участь в проекті (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Supporting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the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Uptake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of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Agri-Food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Research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Results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into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Innovation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with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EPC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countries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). Основна мета проекту – скоротити розрив між дослідженнями та інноваціями в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агропродовольчому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секторі  країн Східного Партнерства. Проект підтримує наукові розробки та інновації за тематикою «Безпечне харчування, стале сільське господарство, морські дослідження та біоекономіка». Дана тематика є однією з пріоритетних та входить у Програму ЄС «ГОРИЗОНТ - 2020».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Уманський НУС переміг із проектом «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Introduction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of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crop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varieties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with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high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protein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content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their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growth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technologies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and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processing</w:t>
      </w:r>
      <w:proofErr w:type="spellEnd"/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. У межах проекту відбулось стажування аспіранта університету у м. Болонья (Італія) організоване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European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association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for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the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transfer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of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technology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and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innovation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, за підтримки </w:t>
      </w:r>
      <w:r w:rsidRPr="00B76AB8">
        <w:rPr>
          <w:rFonts w:ascii="Times New Roman" w:eastAsia="Tahoma" w:hAnsi="Times New Roman" w:cs="Times New Roman"/>
          <w:sz w:val="28"/>
          <w:szCs w:val="28"/>
          <w:lang w:val="en-US" w:bidi="ar-SA"/>
        </w:rPr>
        <w:t>ASTER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.</w:t>
      </w:r>
    </w:p>
    <w:p w:rsidR="00B76AB8" w:rsidRPr="00B76AB8" w:rsidRDefault="00B76AB8" w:rsidP="00B76AB8">
      <w:pPr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У рамках проекту SUAFRI-EPC Уманський НУС є включений до он-лайн переліку організацій, які є потенційними партнерами в реалізації проектів за програмою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Європейського Союзу з науки та інновацій на 2014-2020 рр. «Горизонт 2020». </w:t>
      </w:r>
    </w:p>
    <w:p w:rsidR="00B76AB8" w:rsidRPr="00B76AB8" w:rsidRDefault="00B76AB8" w:rsidP="00B76AB8">
      <w:pPr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У рамках проекту 544524-TEMPUS-1-2013-1-PL-TEMPUS-SMHES "Рамка кваліфікацій в галузі наук про навколишнє середовище для українських університетів" на базі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Ягелонського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університету (м. Краків) відбувся черговий навчально-науковий візит учасників консорціуму. Уманський НУС представляв перший проректор Іван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Мостов’як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:rsidR="00B76AB8" w:rsidRPr="00B76AB8" w:rsidRDefault="00B76AB8" w:rsidP="00B76AB8">
      <w:pPr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Також разом з Природничим університетом у м. Вроцлав, Республіка Польща ведеться співпраця щодо підвищення академічною мобільності студентів на педагогічного персоналу обох університетів в рамках проекту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Erasmus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+. </w:t>
      </w:r>
    </w:p>
    <w:p w:rsidR="00B76AB8" w:rsidRPr="00B76AB8" w:rsidRDefault="00B76AB8" w:rsidP="00B76AB8">
      <w:pPr>
        <w:tabs>
          <w:tab w:val="left" w:pos="374"/>
          <w:tab w:val="left" w:pos="567"/>
        </w:tabs>
        <w:spacing w:line="235" w:lineRule="auto"/>
        <w:ind w:firstLine="567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В університеті проводилась підготовка п’ятирічного проекту «Німецько-українська магістерська програма з логістики» за грантової підтримки Німецької служби академічних обмінів (DAAD), співвиконавцями якого є Університет Бремену (Німеччина), Київський національний університет ім. Вадима Гетьмана, Одеська національна морська академія та Уманський національний університет садівництва. В рамках проекту передбачено науково-педагогічне стажування викладачів в університетах України та Німеччини, спільне навчання та обмін студентами, які навчаються за магістерською програмою з логістики,  проведення науково-практичних конференцій за участі вітчизняних і європейських вчених та підприємств-партнерів</w:t>
      </w:r>
    </w:p>
    <w:p w:rsidR="00B76AB8" w:rsidRPr="00B76AB8" w:rsidRDefault="00B76AB8" w:rsidP="00B76AB8">
      <w:pPr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proofErr w:type="spellStart"/>
      <w:r w:rsidRPr="00B76AB8">
        <w:rPr>
          <w:rFonts w:ascii="Helvetica" w:eastAsia="Tahoma" w:hAnsi="Helvetica" w:cs="Helvetica"/>
          <w:sz w:val="21"/>
          <w:szCs w:val="21"/>
          <w:shd w:val="clear" w:color="auto" w:fill="FFFFFF"/>
          <w:lang w:bidi="ar-SA"/>
        </w:rPr>
        <w:t>.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Наукові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досліди на міжнародному рівні проводить доктор с.-г. наук, професор Мельник О.В. спільно з польською фірмою «ТЗОА АТЕНА» та доктор с.-г. наук, професор Яновський Ю.П. – </w:t>
      </w:r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 xml:space="preserve">Фірма «ФМС </w:t>
      </w:r>
      <w:proofErr w:type="spellStart"/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>Кемікал</w:t>
      </w:r>
      <w:proofErr w:type="spellEnd"/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 xml:space="preserve"> Інтернешнл АГ», Швейцарія.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76AB8" w:rsidRPr="00B76AB8" w:rsidRDefault="00B76AB8" w:rsidP="00B76AB8">
      <w:pPr>
        <w:spacing w:line="235" w:lineRule="auto"/>
        <w:ind w:firstLine="709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Професор Мельник О. В. у 2015р. брав участь та був заступником голови </w:t>
      </w:r>
      <w:proofErr w:type="spellStart"/>
      <w:r w:rsidRPr="00B76AB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 w:bidi="ar-SA"/>
        </w:rPr>
        <w:t>Україно-польських</w:t>
      </w:r>
      <w:proofErr w:type="spellEnd"/>
      <w:r w:rsidRPr="00B76AB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 w:bidi="ar-SA"/>
        </w:rPr>
        <w:t xml:space="preserve"> і західноєвропейських садівничих семінарів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, членом наукового комітету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pl-PL" w:bidi="ar-SA"/>
        </w:rPr>
        <w:t>IV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pl-PL" w:bidi="ar-SA"/>
        </w:rPr>
        <w:t>Zjazd Polskiego Towarzystwa Nauk Ogrodniczych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pl-PL" w:bidi="ar-SA"/>
        </w:rPr>
        <w:t>Wroclaw, 14-16.09.2015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) та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Zeszyty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naukowe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Instytutu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sadownictwa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i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kwiaciarstwa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За 201</w:t>
      </w:r>
      <w:r w:rsidRPr="00B76AB8">
        <w:rPr>
          <w:rFonts w:ascii="Times New Roman" w:eastAsia="Tahoma" w:hAnsi="Times New Roman" w:cs="Times New Roman"/>
          <w:sz w:val="28"/>
          <w:szCs w:val="28"/>
          <w:lang w:val="ru-RU" w:bidi="ar-SA"/>
        </w:rPr>
        <w:t>5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рік студенти, аспіранти, викладачі та науковці стали учасниками </w:t>
      </w:r>
      <w:r w:rsidRPr="00B76AB8">
        <w:rPr>
          <w:rFonts w:ascii="Times New Roman" w:eastAsia="Tahoma" w:hAnsi="Times New Roman" w:cs="Times New Roman"/>
          <w:sz w:val="28"/>
          <w:szCs w:val="28"/>
          <w:lang w:val="ru-RU" w:bidi="ar-SA"/>
        </w:rPr>
        <w:t>22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Міжнародних семінарів, конференцій та інших тематичних заходів, що проходили за кордоном.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Делегація представників Уманського національного університету садівництва взяла участь у Міжнародній конференції «Підприємства, банки і регіональна політика в новій фінансовій перспективі Євросоюзу», що відбулася у Державній Вищій Професійній Школі в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Плоцьку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(Польща). Також університет було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вулючено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до редакцій Міжнародних видань: «Аннали UMCS» (Аннали університету Марії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Кюрі-Склодовської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), секція EEE «Садівництво» (професор В. П. Карпенко) та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Наукових праць інституту садівництва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 xml:space="preserve">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(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>Zeszyty Naukowe Instytutu Ogrodnictwa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, професор Мельник О. В.).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Творчі колективи Уманського НУС – народний самодіяльний ансамбль танцю профспілок України «Нивка», театр танцю «Модерн», хореографічна студія сучасного танцю «Уманська перлинка» та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вокалістка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Олена Макаренко з тріумфом презентували університет на IV Міжнародному фестивалі Європейської Культури в Польщі, який проводився на базі Державної Вищої Професійної Школи ім.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Якуба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з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Парадиза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у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Гожові-Великопольському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color w:val="auto"/>
          <w:sz w:val="28"/>
          <w:szCs w:val="28"/>
          <w:lang w:bidi="ar-SA"/>
        </w:rPr>
      </w:pPr>
    </w:p>
    <w:p w:rsidR="00B76AB8" w:rsidRPr="00B76AB8" w:rsidRDefault="00B76AB8" w:rsidP="00B76AB8">
      <w:pPr>
        <w:spacing w:line="235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i/>
          <w:color w:val="auto"/>
          <w:sz w:val="28"/>
          <w:szCs w:val="28"/>
          <w:lang w:bidi="ar-SA"/>
        </w:rPr>
        <w:t>Для підтримки наукової діяльності, покращення навчального й виховного 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Індивідуальні гранти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Еразмус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+ (Євросоюз)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та Е.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Маскі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Програма обміну викладачами FEP (США).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Тольпи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</w:p>
    <w:p w:rsidR="00B76AB8" w:rsidRPr="00B76AB8" w:rsidRDefault="00B76AB8" w:rsidP="00B76AB8">
      <w:pPr>
        <w:widowControl/>
        <w:numPr>
          <w:ilvl w:val="0"/>
          <w:numId w:val="12"/>
        </w:numPr>
        <w:tabs>
          <w:tab w:val="left" w:pos="374"/>
          <w:tab w:val="left" w:pos="567"/>
        </w:tabs>
        <w:spacing w:line="235" w:lineRule="auto"/>
        <w:ind w:left="374" w:hanging="374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</w:p>
    <w:p w:rsidR="000D34C6" w:rsidRPr="00324DC3" w:rsidRDefault="00CF04D6" w:rsidP="00CF04D6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 xml:space="preserve">активній роботі з пропагування освітніх послуг університету закордоном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збільшилась. 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Сьогодні в університеті навчається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осіб з Туркменістану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Азейбарджану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Турції</w:t>
      </w:r>
      <w:proofErr w:type="spellEnd"/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починаючи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курс. </w:t>
      </w:r>
      <w:r>
        <w:rPr>
          <w:rFonts w:ascii="Times New Roman" w:hAnsi="Times New Roman" w:cs="Times New Roman"/>
          <w:sz w:val="28"/>
          <w:szCs w:val="28"/>
        </w:rPr>
        <w:t xml:space="preserve">У 2015 році почало функціонувати відділення з підготовки іноземних громадян до вступу у ВНЗ, на якому навчається 4 слухача з Республіки Камерун. </w:t>
      </w:r>
      <w:r w:rsidR="000D34C6" w:rsidRPr="00324DC3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3A1393" w:rsidRPr="00324DC3" w:rsidRDefault="003A1393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170B0" w:rsidRPr="00324DC3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2B" w:rsidRDefault="00216B2B">
      <w:r>
        <w:separator/>
      </w:r>
    </w:p>
  </w:endnote>
  <w:endnote w:type="continuationSeparator" w:id="0">
    <w:p w:rsidR="00216B2B" w:rsidRDefault="0021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2B" w:rsidRDefault="00216B2B"/>
  </w:footnote>
  <w:footnote w:type="continuationSeparator" w:id="0">
    <w:p w:rsidR="00216B2B" w:rsidRDefault="00216B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66B94"/>
    <w:rsid w:val="00093936"/>
    <w:rsid w:val="000D34C6"/>
    <w:rsid w:val="00166A38"/>
    <w:rsid w:val="001E4F5F"/>
    <w:rsid w:val="00214A6D"/>
    <w:rsid w:val="00216B2B"/>
    <w:rsid w:val="0022068B"/>
    <w:rsid w:val="00223129"/>
    <w:rsid w:val="00224CDA"/>
    <w:rsid w:val="00265FFF"/>
    <w:rsid w:val="0029658E"/>
    <w:rsid w:val="002C6FDC"/>
    <w:rsid w:val="002D0BA6"/>
    <w:rsid w:val="002D28CD"/>
    <w:rsid w:val="003157A5"/>
    <w:rsid w:val="00324DC3"/>
    <w:rsid w:val="00383DEC"/>
    <w:rsid w:val="003A1393"/>
    <w:rsid w:val="003C366B"/>
    <w:rsid w:val="003F5820"/>
    <w:rsid w:val="00414CE2"/>
    <w:rsid w:val="0045253A"/>
    <w:rsid w:val="004B438D"/>
    <w:rsid w:val="004C1F57"/>
    <w:rsid w:val="004C4B07"/>
    <w:rsid w:val="004D26F9"/>
    <w:rsid w:val="004F3A03"/>
    <w:rsid w:val="00550BD3"/>
    <w:rsid w:val="005531A8"/>
    <w:rsid w:val="006429DE"/>
    <w:rsid w:val="006C73A7"/>
    <w:rsid w:val="007125F5"/>
    <w:rsid w:val="007C21C8"/>
    <w:rsid w:val="008C611C"/>
    <w:rsid w:val="00941ADE"/>
    <w:rsid w:val="009501E0"/>
    <w:rsid w:val="00983CE0"/>
    <w:rsid w:val="009B085C"/>
    <w:rsid w:val="009C4B5D"/>
    <w:rsid w:val="00A4368E"/>
    <w:rsid w:val="00AE2A85"/>
    <w:rsid w:val="00B179D8"/>
    <w:rsid w:val="00B72D19"/>
    <w:rsid w:val="00B76AB8"/>
    <w:rsid w:val="00B943E1"/>
    <w:rsid w:val="00BF4B3C"/>
    <w:rsid w:val="00C406C6"/>
    <w:rsid w:val="00C737CF"/>
    <w:rsid w:val="00CC3433"/>
    <w:rsid w:val="00CC58F1"/>
    <w:rsid w:val="00CE4E4C"/>
    <w:rsid w:val="00CE76E1"/>
    <w:rsid w:val="00CF04D6"/>
    <w:rsid w:val="00DA1C7B"/>
    <w:rsid w:val="00DF267C"/>
    <w:rsid w:val="00E170B0"/>
    <w:rsid w:val="00E61D9A"/>
    <w:rsid w:val="00E74B01"/>
    <w:rsid w:val="00EA538D"/>
    <w:rsid w:val="00EC135C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47;&#1074;&#1110;&#1090;&#1085;&#1110;&#1089;&#1090;&#1100;%20&#1087;&#1086;&#1047;&#1045;&#1044;\&#1047;&#1074;&#1110;&#1090;&#1080;%20&#1042;&#1052;&#1047;\&#1044;&#1083;&#1103;%20&#1079;&#1074;&#1110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Стажування студентів УНУС за кордоном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7516216847396065E-2"/>
          <c:y val="0.20478661057778735"/>
          <c:w val="0.8804022754127846"/>
          <c:h val="0.69125588753460609"/>
        </c:manualLayout>
      </c:layout>
      <c:lineChart>
        <c:grouping val="standard"/>
        <c:varyColors val="0"/>
        <c:ser>
          <c:idx val="3"/>
          <c:order val="0"/>
          <c:tx>
            <c:strRef>
              <c:f>Лист2!$C$21</c:f>
              <c:strCache>
                <c:ptCount val="1"/>
                <c:pt idx="0">
                  <c:v>Стажування за кордоном</c:v>
                </c:pt>
              </c:strCache>
            </c:strRef>
          </c:tx>
          <c:spPr>
            <a:effectLst>
              <a:outerShdw blurRad="1117600" dist="2209800" dir="5400000" sx="192000" sy="192000" algn="ctr" rotWithShape="0">
                <a:srgbClr val="000000">
                  <a:alpha val="0"/>
                </a:srgbClr>
              </a:outerShdw>
            </a:effectLst>
          </c:spPr>
          <c:marker>
            <c:symbol val="none"/>
          </c:marker>
          <c:dLbls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Лист2!$D$17:$J$17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Лист2!$D$21:$J$21</c:f>
              <c:numCache>
                <c:formatCode>General</c:formatCode>
                <c:ptCount val="7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28736"/>
        <c:axId val="182941952"/>
      </c:lineChart>
      <c:catAx>
        <c:axId val="1610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82941952"/>
        <c:crosses val="autoZero"/>
        <c:auto val="1"/>
        <c:lblAlgn val="ctr"/>
        <c:lblOffset val="100"/>
        <c:noMultiLvlLbl val="0"/>
      </c:catAx>
      <c:valAx>
        <c:axId val="182941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102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87331053299065"/>
          <c:y val="0.1359411066767339"/>
          <c:w val="0.29852477635540825"/>
          <c:h val="7.901916370042784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E58E-6D0E-426A-92E3-6910B2C5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111</cp:lastModifiedBy>
  <cp:revision>4</cp:revision>
  <dcterms:created xsi:type="dcterms:W3CDTF">2015-12-24T08:22:00Z</dcterms:created>
  <dcterms:modified xsi:type="dcterms:W3CDTF">2015-12-24T11:49:00Z</dcterms:modified>
</cp:coreProperties>
</file>