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324DC3" w:rsidRDefault="008C611C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AE2A85" w:rsidRPr="00324DC3" w:rsidRDefault="00AE2A85" w:rsidP="004C4B07">
      <w:pPr>
        <w:pStyle w:val="a9"/>
        <w:ind w:left="0" w:firstLine="851"/>
        <w:jc w:val="both"/>
        <w:rPr>
          <w:rStyle w:val="31"/>
          <w:rFonts w:eastAsia="Arial Unicode MS"/>
          <w:b w:val="0"/>
          <w:sz w:val="28"/>
          <w:szCs w:val="28"/>
        </w:rPr>
      </w:pPr>
    </w:p>
    <w:p w:rsidR="008C611C" w:rsidRPr="008A2415" w:rsidRDefault="00093936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Style w:val="31"/>
          <w:rFonts w:eastAsia="Arial Unicode MS"/>
          <w:bCs w:val="0"/>
          <w:sz w:val="44"/>
          <w:szCs w:val="28"/>
        </w:rPr>
      </w:pPr>
      <w:r w:rsidRPr="008A2415">
        <w:rPr>
          <w:rStyle w:val="31"/>
          <w:rFonts w:eastAsia="Arial Unicode MS"/>
          <w:sz w:val="44"/>
          <w:szCs w:val="28"/>
        </w:rPr>
        <w:t>МІЖНАРОДН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А</w:t>
      </w:r>
      <w:r w:rsidRPr="008A2415">
        <w:rPr>
          <w:rStyle w:val="31"/>
          <w:rFonts w:eastAsia="Arial Unicode MS"/>
          <w:sz w:val="44"/>
          <w:szCs w:val="28"/>
        </w:rPr>
        <w:t xml:space="preserve"> </w:t>
      </w:r>
      <w:r w:rsidR="00DA1C7B" w:rsidRPr="008A2415">
        <w:rPr>
          <w:rStyle w:val="31"/>
          <w:rFonts w:eastAsia="Arial Unicode MS"/>
          <w:bCs w:val="0"/>
          <w:sz w:val="44"/>
          <w:szCs w:val="28"/>
        </w:rPr>
        <w:t>ДІЯЛЬНІСТЬ</w:t>
      </w:r>
    </w:p>
    <w:p w:rsidR="00E170B0" w:rsidRPr="008A2415" w:rsidRDefault="00AE2A85" w:rsidP="008A2415">
      <w:pPr>
        <w:pStyle w:val="a9"/>
        <w:tabs>
          <w:tab w:val="left" w:pos="426"/>
        </w:tabs>
        <w:spacing w:line="360" w:lineRule="auto"/>
        <w:ind w:left="0"/>
        <w:jc w:val="center"/>
        <w:rPr>
          <w:rFonts w:ascii="Times New Roman" w:hAnsi="Times New Roman" w:cs="Times New Roman"/>
          <w:sz w:val="44"/>
          <w:szCs w:val="28"/>
        </w:rPr>
      </w:pPr>
      <w:r w:rsidRPr="008A2415">
        <w:rPr>
          <w:rStyle w:val="31"/>
          <w:rFonts w:eastAsia="Arial Unicode MS"/>
          <w:bCs w:val="0"/>
          <w:sz w:val="44"/>
          <w:szCs w:val="28"/>
        </w:rPr>
        <w:t>УМАНСЬКОГО НУС</w:t>
      </w:r>
    </w:p>
    <w:p w:rsidR="00E170B0" w:rsidRPr="00324DC3" w:rsidRDefault="00E170B0" w:rsidP="004C4B07">
      <w:pPr>
        <w:pStyle w:val="a9"/>
        <w:ind w:left="0" w:firstLine="851"/>
        <w:jc w:val="both"/>
        <w:rPr>
          <w:rFonts w:ascii="Times New Roman" w:hAnsi="Times New Roman" w:cs="Times New Roman"/>
          <w:sz w:val="28"/>
          <w:szCs w:val="28"/>
        </w:rPr>
        <w:sectPr w:rsidR="00E170B0" w:rsidRPr="00324DC3" w:rsidSect="004C4B07">
          <w:pgSz w:w="11900" w:h="16840"/>
          <w:pgMar w:top="360" w:right="843" w:bottom="709" w:left="1134" w:header="0" w:footer="3" w:gutter="0"/>
          <w:cols w:space="720"/>
          <w:noEndnote/>
          <w:docGrid w:linePitch="360"/>
        </w:sectPr>
      </w:pP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lastRenderedPageBreak/>
        <w:t>Міжнародна діяльність Уманського національного університету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 xml:space="preserve">садівництва в сучасних умовах визначає </w:t>
      </w:r>
      <w:r>
        <w:rPr>
          <w:rFonts w:ascii="Times New Roman" w:hAnsi="Times New Roman" w:cs="Times New Roman"/>
          <w:sz w:val="28"/>
          <w:szCs w:val="28"/>
        </w:rPr>
        <w:t xml:space="preserve">авторитет навчального закладу в </w:t>
      </w:r>
      <w:r w:rsidRPr="00B76AB8">
        <w:rPr>
          <w:rFonts w:ascii="Times New Roman" w:hAnsi="Times New Roman" w:cs="Times New Roman"/>
          <w:sz w:val="28"/>
          <w:szCs w:val="28"/>
        </w:rPr>
        <w:t>Україні та світі. У звітному році керівництвом університету приділялась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велика увага міжнародній діяльності. Університет працював в цьому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напрямку, базуючись на ключових аспектах стратегії інтеграції України до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Європейського союзу. Проводились заходи щодо організації стажування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викладачів, аспірантів, докторантів, молодих науковців та студентів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кордоном; надання підтримки міжнародній науковій роботі викладачів 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студентів; впровадження навчання іноземних студентів в УНУС.</w:t>
      </w:r>
    </w:p>
    <w:p w:rsidR="00B76AB8" w:rsidRPr="00B76AB8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Стажування викладачів, аспірантів, до</w:t>
      </w:r>
      <w:r>
        <w:rPr>
          <w:rFonts w:ascii="Times New Roman" w:hAnsi="Times New Roman" w:cs="Times New Roman"/>
          <w:sz w:val="28"/>
          <w:szCs w:val="28"/>
        </w:rPr>
        <w:t xml:space="preserve">кторантів, молодих науковців та </w:t>
      </w:r>
      <w:r w:rsidRPr="00B76AB8">
        <w:rPr>
          <w:rFonts w:ascii="Times New Roman" w:hAnsi="Times New Roman" w:cs="Times New Roman"/>
          <w:sz w:val="28"/>
          <w:szCs w:val="28"/>
        </w:rPr>
        <w:t>студентів за кордоном здійснювалось як за прямими договорами між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Уманським НУС та закордонними партнерами, так і за їх власною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ініціативою.</w:t>
      </w:r>
    </w:p>
    <w:p w:rsidR="00E170B0" w:rsidRDefault="00B76AB8" w:rsidP="008A2415">
      <w:pPr>
        <w:pStyle w:val="a9"/>
        <w:spacing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76AB8">
        <w:rPr>
          <w:rFonts w:ascii="Times New Roman" w:hAnsi="Times New Roman" w:cs="Times New Roman"/>
          <w:sz w:val="28"/>
          <w:szCs w:val="28"/>
        </w:rPr>
        <w:t>Міжнародну діяльність університет проводив</w:t>
      </w:r>
      <w:r>
        <w:rPr>
          <w:rFonts w:ascii="Times New Roman" w:hAnsi="Times New Roman" w:cs="Times New Roman"/>
          <w:sz w:val="28"/>
          <w:szCs w:val="28"/>
        </w:rPr>
        <w:t xml:space="preserve"> у рамках </w:t>
      </w:r>
      <w:r w:rsidR="00F519BE">
        <w:rPr>
          <w:rFonts w:ascii="Times New Roman" w:hAnsi="Times New Roman" w:cs="Times New Roman"/>
          <w:sz w:val="28"/>
          <w:szCs w:val="28"/>
        </w:rPr>
        <w:t>39</w:t>
      </w:r>
      <w:r>
        <w:rPr>
          <w:rFonts w:ascii="Times New Roman" w:hAnsi="Times New Roman" w:cs="Times New Roman"/>
          <w:sz w:val="28"/>
          <w:szCs w:val="28"/>
        </w:rPr>
        <w:t xml:space="preserve"> договорів про </w:t>
      </w:r>
      <w:r w:rsidRPr="00B76AB8">
        <w:rPr>
          <w:rFonts w:ascii="Times New Roman" w:hAnsi="Times New Roman" w:cs="Times New Roman"/>
          <w:sz w:val="28"/>
          <w:szCs w:val="28"/>
        </w:rPr>
        <w:t>співпрацю з іноземними освітніми закладами, стипендіальними програмами,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76AB8">
        <w:rPr>
          <w:rFonts w:ascii="Times New Roman" w:hAnsi="Times New Roman" w:cs="Times New Roman"/>
          <w:sz w:val="28"/>
          <w:szCs w:val="28"/>
        </w:rPr>
        <w:t>грантами.(табл. 1).</w:t>
      </w:r>
    </w:p>
    <w:p w:rsidR="00B76AB8" w:rsidRPr="00B76AB8" w:rsidRDefault="00B76AB8" w:rsidP="008A2415">
      <w:pPr>
        <w:pStyle w:val="a9"/>
        <w:spacing w:line="276" w:lineRule="auto"/>
        <w:ind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B76AB8">
        <w:rPr>
          <w:rFonts w:ascii="Times New Roman" w:hAnsi="Times New Roman" w:cs="Times New Roman"/>
          <w:i/>
          <w:sz w:val="28"/>
          <w:szCs w:val="28"/>
        </w:rPr>
        <w:t>Таблиця 1</w:t>
      </w:r>
    </w:p>
    <w:p w:rsidR="00B76AB8" w:rsidRPr="00B76AB8" w:rsidRDefault="00B76AB8" w:rsidP="008A2415">
      <w:pPr>
        <w:pStyle w:val="a9"/>
        <w:spacing w:line="276" w:lineRule="auto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76AB8">
        <w:rPr>
          <w:rFonts w:ascii="Times New Roman" w:hAnsi="Times New Roman" w:cs="Times New Roman"/>
          <w:b/>
          <w:sz w:val="28"/>
          <w:szCs w:val="28"/>
        </w:rPr>
        <w:t>Перелік підписаних договорів з навчальними, науковими та іншими установами іноземними держав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1663"/>
        <w:gridCol w:w="5108"/>
        <w:gridCol w:w="2732"/>
      </w:tblGrid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Країна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Навчальний заклад або організація, з якою підписаний договір про співпрацю</w:t>
            </w:r>
          </w:p>
        </w:tc>
        <w:tc>
          <w:tcPr>
            <w:tcW w:w="2732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Напрямок співпраці</w:t>
            </w:r>
          </w:p>
        </w:tc>
      </w:tr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Болгарія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Господарська академія ім. Д.А.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Ценова</w:t>
            </w:r>
            <w:proofErr w:type="spellEnd"/>
          </w:p>
        </w:tc>
        <w:tc>
          <w:tcPr>
            <w:tcW w:w="2732" w:type="dxa"/>
            <w:vAlign w:val="center"/>
          </w:tcPr>
          <w:p w:rsidR="002D0BA6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2D0BA6" w:rsidRPr="002D0BA6" w:rsidTr="00E06B77">
        <w:trPr>
          <w:trHeight w:val="172"/>
        </w:trPr>
        <w:tc>
          <w:tcPr>
            <w:tcW w:w="1663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</w:t>
            </w:r>
          </w:p>
        </w:tc>
        <w:tc>
          <w:tcPr>
            <w:tcW w:w="5108" w:type="dxa"/>
            <w:vAlign w:val="center"/>
          </w:tcPr>
          <w:p w:rsidR="002D0BA6" w:rsidRPr="00E06B77" w:rsidRDefault="002D0BA6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Білоруський державний аграрний технічний університет</w:t>
            </w:r>
          </w:p>
        </w:tc>
        <w:tc>
          <w:tcPr>
            <w:tcW w:w="2732" w:type="dxa"/>
            <w:vAlign w:val="center"/>
          </w:tcPr>
          <w:p w:rsidR="002D0BA6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Державна Вища Професійна Школа ім. Яна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Гродка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Природничий університет у м. Вроцлав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школа ім. Папи Павла ІІ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Аграрний університет ім.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Хугона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Колонтая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</w:t>
            </w:r>
            <w:r w:rsidR="00A4070B" w:rsidRPr="00E06B77">
              <w:rPr>
                <w:rFonts w:ascii="Times New Roman" w:hAnsi="Times New Roman" w:cs="Times New Roman"/>
                <w:sz w:val="26"/>
                <w:szCs w:val="26"/>
              </w:rPr>
              <w:t>а вища школа професійної освіти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Державна вища професійна школа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Варшавський університет менеджменту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Росія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Кубанський державний аграрний університет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Молдова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Тираспольський аграрно-технічний коледж ім. М.Ф. Фрунзе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Франція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Національний вищий інститут агрономії, харчових технологій та екології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Вища національна сільськогосподарська школа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Університет прикладних наук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Нойбранденбург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Менделя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Чехія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Університет Південної Богемії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Таїланд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Технологічний університет короля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Монгкута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Тонбурі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Монголія</w:t>
            </w:r>
          </w:p>
        </w:tc>
        <w:tc>
          <w:tcPr>
            <w:tcW w:w="5108" w:type="dxa"/>
            <w:vAlign w:val="center"/>
          </w:tcPr>
          <w:p w:rsidR="00C737CF" w:rsidRPr="00E06B77" w:rsidRDefault="00C737CF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Монгольський державний сільськогосподарський університет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та навчальна співпраця</w:t>
            </w:r>
          </w:p>
        </w:tc>
      </w:tr>
      <w:tr w:rsidR="00C737CF" w:rsidRPr="002D0BA6" w:rsidTr="00E06B77">
        <w:trPr>
          <w:trHeight w:val="17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Німеччина</w:t>
            </w:r>
          </w:p>
        </w:tc>
        <w:tc>
          <w:tcPr>
            <w:tcW w:w="5108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Програми стажування: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Лого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Аполло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Німецький Селянський Союз, приватні фермерські господарства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Штоппеля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, та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Шумахера</w:t>
            </w:r>
            <w:proofErr w:type="spellEnd"/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E06B77">
        <w:trPr>
          <w:trHeight w:val="666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Фінляндія</w:t>
            </w:r>
          </w:p>
        </w:tc>
        <w:tc>
          <w:tcPr>
            <w:tcW w:w="5108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СІМО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C737CF" w:rsidRPr="002D0BA6" w:rsidTr="00E06B77">
        <w:trPr>
          <w:trHeight w:val="562"/>
        </w:trPr>
        <w:tc>
          <w:tcPr>
            <w:tcW w:w="1663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Канада</w:t>
            </w:r>
          </w:p>
        </w:tc>
        <w:tc>
          <w:tcPr>
            <w:tcW w:w="5108" w:type="dxa"/>
            <w:vAlign w:val="center"/>
          </w:tcPr>
          <w:p w:rsidR="00C737CF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САЕП,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732" w:type="dxa"/>
            <w:vAlign w:val="center"/>
          </w:tcPr>
          <w:p w:rsidR="00C737CF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54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Австралія</w:t>
            </w:r>
          </w:p>
        </w:tc>
        <w:tc>
          <w:tcPr>
            <w:tcW w:w="5108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Швеція</w:t>
            </w:r>
          </w:p>
        </w:tc>
        <w:tc>
          <w:tcPr>
            <w:tcW w:w="5108" w:type="dxa"/>
            <w:vAlign w:val="center"/>
          </w:tcPr>
          <w:p w:rsidR="00983CE0" w:rsidRPr="00E06B77" w:rsidRDefault="00A4070B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ILC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4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Агроімпульс</w:t>
            </w:r>
            <w:proofErr w:type="spellEnd"/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Нідерланди</w:t>
            </w:r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Стіхтінг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Аутвісселінг</w:t>
            </w:r>
            <w:proofErr w:type="spellEnd"/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983CE0" w:rsidRPr="002D0BA6" w:rsidTr="00E06B77">
        <w:trPr>
          <w:trHeight w:val="172"/>
        </w:trPr>
        <w:tc>
          <w:tcPr>
            <w:tcW w:w="1663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Польша</w:t>
            </w:r>
            <w:proofErr w:type="spellEnd"/>
          </w:p>
        </w:tc>
        <w:tc>
          <w:tcPr>
            <w:tcW w:w="5108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Plantacja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nad</w:t>
            </w:r>
            <w:proofErr w:type="spellEnd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</w:t>
            </w:r>
            <w:proofErr w:type="spellStart"/>
            <w:r w:rsidR="00A4070B"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Tanwia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732" w:type="dxa"/>
            <w:vAlign w:val="center"/>
          </w:tcPr>
          <w:p w:rsidR="00983CE0" w:rsidRPr="00E06B77" w:rsidRDefault="00983CE0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Садівниче господарство «Поляна»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AgroSup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 Dijon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Франція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Ісфрада</w:t>
            </w:r>
            <w:proofErr w:type="spellEnd"/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випускників, працевлаштування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МАСТ, </w:t>
            </w:r>
            <w:r w:rsidRPr="00E06B77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CAEP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Італія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Садівниче господарство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Батістіні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Вівай</w:t>
            </w:r>
            <w:proofErr w:type="spellEnd"/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студентів</w:t>
            </w:r>
          </w:p>
        </w:tc>
      </w:tr>
      <w:tr w:rsidR="00F519BE" w:rsidRPr="002D0BA6" w:rsidTr="00E06B77">
        <w:trPr>
          <w:trHeight w:val="17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США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Програма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міжфакультетського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обміну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Стажування молодих вчених. аспірантів</w:t>
            </w:r>
          </w:p>
        </w:tc>
      </w:tr>
      <w:tr w:rsidR="00F519BE" w:rsidRPr="002D0BA6" w:rsidTr="00E06B77">
        <w:trPr>
          <w:trHeight w:val="478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Польща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Фірма «ТЗОА АТЕНА»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  <w:tr w:rsidR="00F519BE" w:rsidRPr="002D0BA6" w:rsidTr="00E06B77">
        <w:trPr>
          <w:trHeight w:val="582"/>
        </w:trPr>
        <w:tc>
          <w:tcPr>
            <w:tcW w:w="1663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Швейцарія</w:t>
            </w:r>
          </w:p>
        </w:tc>
        <w:tc>
          <w:tcPr>
            <w:tcW w:w="5108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Фірма «ФМС </w:t>
            </w:r>
            <w:proofErr w:type="spellStart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Кемікал</w:t>
            </w:r>
            <w:proofErr w:type="spellEnd"/>
            <w:r w:rsidRPr="00E06B77">
              <w:rPr>
                <w:rFonts w:ascii="Times New Roman" w:hAnsi="Times New Roman" w:cs="Times New Roman"/>
                <w:sz w:val="26"/>
                <w:szCs w:val="26"/>
              </w:rPr>
              <w:t xml:space="preserve"> Інтернешнл АГ»</w:t>
            </w:r>
          </w:p>
        </w:tc>
        <w:tc>
          <w:tcPr>
            <w:tcW w:w="2732" w:type="dxa"/>
            <w:vAlign w:val="center"/>
          </w:tcPr>
          <w:p w:rsidR="00F519BE" w:rsidRPr="00E06B77" w:rsidRDefault="00F519BE" w:rsidP="008A2415">
            <w:pPr>
              <w:pStyle w:val="a9"/>
              <w:ind w:left="0"/>
              <w:rPr>
                <w:rFonts w:ascii="Times New Roman" w:hAnsi="Times New Roman" w:cs="Times New Roman"/>
                <w:sz w:val="26"/>
                <w:szCs w:val="26"/>
              </w:rPr>
            </w:pPr>
            <w:r w:rsidRPr="00E06B77">
              <w:rPr>
                <w:rFonts w:ascii="Times New Roman" w:hAnsi="Times New Roman" w:cs="Times New Roman"/>
                <w:sz w:val="26"/>
                <w:szCs w:val="26"/>
              </w:rPr>
              <w:t>Наукова співпраця</w:t>
            </w:r>
          </w:p>
        </w:tc>
      </w:tr>
    </w:tbl>
    <w:p w:rsidR="007125F5" w:rsidRDefault="007125F5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B76AB8" w:rsidRPr="00324DC3" w:rsidRDefault="00B76AB8" w:rsidP="004C4B07">
      <w:pPr>
        <w:pStyle w:val="a9"/>
        <w:ind w:left="0" w:firstLine="851"/>
        <w:jc w:val="both"/>
        <w:rPr>
          <w:rFonts w:ascii="Times New Roman" w:hAnsi="Times New Roman" w:cs="Times New Roman"/>
          <w:sz w:val="12"/>
          <w:szCs w:val="28"/>
        </w:rPr>
      </w:pPr>
    </w:p>
    <w:p w:rsidR="004C4B07" w:rsidRDefault="003157A5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>За цими договорами на стажування</w:t>
      </w:r>
      <w:r w:rsidR="00B943E1" w:rsidRPr="00324DC3">
        <w:rPr>
          <w:rFonts w:ascii="Times New Roman" w:hAnsi="Times New Roman" w:cs="Times New Roman"/>
          <w:sz w:val="28"/>
          <w:szCs w:val="28"/>
        </w:rPr>
        <w:t>, участь в конференціях, семінарах та інших заходах</w:t>
      </w:r>
      <w:r w:rsidRPr="00324DC3">
        <w:rPr>
          <w:rFonts w:ascii="Times New Roman" w:hAnsi="Times New Roman" w:cs="Times New Roman"/>
          <w:sz w:val="28"/>
          <w:szCs w:val="28"/>
        </w:rPr>
        <w:t xml:space="preserve"> за кордон було </w:t>
      </w:r>
      <w:proofErr w:type="spellStart"/>
      <w:r w:rsidR="00B76AB8" w:rsidRPr="00B76AB8">
        <w:rPr>
          <w:rFonts w:ascii="Times New Roman" w:hAnsi="Times New Roman" w:cs="Times New Roman"/>
          <w:sz w:val="28"/>
          <w:szCs w:val="28"/>
        </w:rPr>
        <w:t>відряджено</w:t>
      </w:r>
      <w:proofErr w:type="spellEnd"/>
      <w:r w:rsidR="00B76AB8" w:rsidRPr="00B76AB8">
        <w:rPr>
          <w:rFonts w:ascii="Times New Roman" w:hAnsi="Times New Roman" w:cs="Times New Roman"/>
          <w:sz w:val="28"/>
          <w:szCs w:val="28"/>
        </w:rPr>
        <w:t xml:space="preserve"> </w:t>
      </w:r>
      <w:r w:rsidR="00355548">
        <w:rPr>
          <w:rFonts w:ascii="Times New Roman" w:hAnsi="Times New Roman" w:cs="Times New Roman"/>
          <w:sz w:val="28"/>
          <w:szCs w:val="28"/>
        </w:rPr>
        <w:t>89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 студентів, </w:t>
      </w:r>
      <w:r w:rsidR="00873966">
        <w:rPr>
          <w:rFonts w:ascii="Times New Roman" w:hAnsi="Times New Roman" w:cs="Times New Roman"/>
          <w:sz w:val="28"/>
          <w:szCs w:val="28"/>
        </w:rPr>
        <w:t>4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 аспірант</w:t>
      </w:r>
      <w:r w:rsidR="00D11F80">
        <w:rPr>
          <w:rFonts w:ascii="Times New Roman" w:hAnsi="Times New Roman" w:cs="Times New Roman"/>
          <w:sz w:val="28"/>
          <w:szCs w:val="28"/>
        </w:rPr>
        <w:t>а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 та </w:t>
      </w:r>
      <w:r w:rsidR="00D11F80">
        <w:rPr>
          <w:rFonts w:ascii="Times New Roman" w:hAnsi="Times New Roman" w:cs="Times New Roman"/>
          <w:sz w:val="28"/>
          <w:szCs w:val="28"/>
        </w:rPr>
        <w:t>20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 викладачів. Географія країн, що приймали наших студентів, аспірантів, викладачів та науковців у 201</w:t>
      </w:r>
      <w:r w:rsidR="00355548">
        <w:rPr>
          <w:rFonts w:ascii="Times New Roman" w:hAnsi="Times New Roman" w:cs="Times New Roman"/>
          <w:sz w:val="28"/>
          <w:szCs w:val="28"/>
        </w:rPr>
        <w:t>6</w:t>
      </w:r>
      <w:r w:rsidR="00D706EF">
        <w:rPr>
          <w:rFonts w:ascii="Times New Roman" w:hAnsi="Times New Roman" w:cs="Times New Roman"/>
          <w:sz w:val="28"/>
          <w:szCs w:val="28"/>
        </w:rPr>
        <w:t xml:space="preserve"> </w:t>
      </w:r>
      <w:r w:rsidR="00B76AB8" w:rsidRPr="00B76AB8">
        <w:rPr>
          <w:rFonts w:ascii="Times New Roman" w:hAnsi="Times New Roman" w:cs="Times New Roman"/>
          <w:sz w:val="28"/>
          <w:szCs w:val="28"/>
        </w:rPr>
        <w:t xml:space="preserve">р.: Польща, Німеччина, </w:t>
      </w:r>
      <w:r w:rsidR="00D11F80">
        <w:rPr>
          <w:rFonts w:ascii="Times New Roman" w:hAnsi="Times New Roman" w:cs="Times New Roman"/>
          <w:sz w:val="28"/>
          <w:szCs w:val="28"/>
        </w:rPr>
        <w:t xml:space="preserve">Швеція, Болгарія, </w:t>
      </w:r>
      <w:r w:rsidR="00D11F80">
        <w:rPr>
          <w:rFonts w:ascii="Times New Roman" w:hAnsi="Times New Roman" w:cs="Times New Roman"/>
          <w:sz w:val="28"/>
          <w:szCs w:val="28"/>
        </w:rPr>
        <w:lastRenderedPageBreak/>
        <w:t>Білорусь, Греція, Італія</w:t>
      </w:r>
      <w:r w:rsidR="00B943E1" w:rsidRPr="00324D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5253A" w:rsidRPr="00324DC3" w:rsidRDefault="0045253A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24DC3">
        <w:rPr>
          <w:rFonts w:ascii="Times New Roman" w:hAnsi="Times New Roman" w:cs="Times New Roman"/>
          <w:sz w:val="28"/>
          <w:szCs w:val="28"/>
        </w:rPr>
        <w:t xml:space="preserve">Стажування студентів за кордоном в різноманітних компаніях та фермерських господарствах завжди являлось візитівкою нашого університету. </w:t>
      </w:r>
      <w:r w:rsidR="005531A8">
        <w:rPr>
          <w:rFonts w:ascii="Times New Roman" w:hAnsi="Times New Roman" w:cs="Times New Roman"/>
          <w:sz w:val="28"/>
          <w:szCs w:val="28"/>
        </w:rPr>
        <w:t>Незважаючи на</w:t>
      </w:r>
      <w:r w:rsidRPr="00324DC3">
        <w:rPr>
          <w:rFonts w:ascii="Times New Roman" w:hAnsi="Times New Roman" w:cs="Times New Roman"/>
          <w:sz w:val="28"/>
          <w:szCs w:val="28"/>
        </w:rPr>
        <w:t xml:space="preserve"> невтішну картину скорочення кількості студентів загалом </w:t>
      </w:r>
      <w:r w:rsidR="005531A8">
        <w:rPr>
          <w:rFonts w:ascii="Times New Roman" w:hAnsi="Times New Roman" w:cs="Times New Roman"/>
          <w:sz w:val="28"/>
          <w:szCs w:val="28"/>
        </w:rPr>
        <w:t xml:space="preserve">кількість </w:t>
      </w:r>
      <w:r w:rsidRPr="00324DC3">
        <w:rPr>
          <w:rFonts w:ascii="Times New Roman" w:hAnsi="Times New Roman" w:cs="Times New Roman"/>
          <w:sz w:val="28"/>
          <w:szCs w:val="28"/>
        </w:rPr>
        <w:t>бажаючих пройти стажув</w:t>
      </w:r>
      <w:r w:rsidR="00B76AB8">
        <w:rPr>
          <w:rFonts w:ascii="Times New Roman" w:hAnsi="Times New Roman" w:cs="Times New Roman"/>
          <w:sz w:val="28"/>
          <w:szCs w:val="28"/>
        </w:rPr>
        <w:t xml:space="preserve">ання за кордоном </w:t>
      </w:r>
      <w:r w:rsidR="005531A8">
        <w:rPr>
          <w:rFonts w:ascii="Times New Roman" w:hAnsi="Times New Roman" w:cs="Times New Roman"/>
          <w:sz w:val="28"/>
          <w:szCs w:val="28"/>
        </w:rPr>
        <w:t>зростає</w:t>
      </w:r>
      <w:r w:rsidR="00B76AB8">
        <w:rPr>
          <w:rFonts w:ascii="Times New Roman" w:hAnsi="Times New Roman" w:cs="Times New Roman"/>
          <w:sz w:val="28"/>
          <w:szCs w:val="28"/>
        </w:rPr>
        <w:t> (Рис.</w:t>
      </w:r>
      <w:r w:rsidRPr="00324DC3">
        <w:rPr>
          <w:rFonts w:ascii="Times New Roman" w:hAnsi="Times New Roman" w:cs="Times New Roman"/>
          <w:sz w:val="28"/>
          <w:szCs w:val="28"/>
        </w:rPr>
        <w:t xml:space="preserve"> </w:t>
      </w:r>
      <w:r w:rsidR="00D706EF">
        <w:rPr>
          <w:rFonts w:ascii="Times New Roman" w:hAnsi="Times New Roman" w:cs="Times New Roman"/>
          <w:sz w:val="28"/>
          <w:szCs w:val="28"/>
        </w:rPr>
        <w:t>1</w:t>
      </w:r>
      <w:r w:rsidRPr="00324DC3">
        <w:rPr>
          <w:rFonts w:ascii="Times New Roman" w:hAnsi="Times New Roman" w:cs="Times New Roman"/>
          <w:sz w:val="28"/>
          <w:szCs w:val="28"/>
        </w:rPr>
        <w:t>).</w:t>
      </w:r>
    </w:p>
    <w:p w:rsidR="0045253A" w:rsidRPr="00324DC3" w:rsidRDefault="0045253A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45253A" w:rsidRPr="00324DC3" w:rsidRDefault="00D706EF" w:rsidP="004D26F9">
      <w:pPr>
        <w:pStyle w:val="a9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3537DC14" wp14:editId="737BB80C">
            <wp:extent cx="5225142" cy="2743200"/>
            <wp:effectExtent l="0" t="0" r="1397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06B77" w:rsidRDefault="005531A8" w:rsidP="00E06B77">
      <w:pPr>
        <w:pStyle w:val="a9"/>
        <w:spacing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A8">
        <w:rPr>
          <w:rFonts w:ascii="Times New Roman" w:hAnsi="Times New Roman" w:cs="Times New Roman"/>
          <w:b/>
          <w:sz w:val="28"/>
          <w:szCs w:val="28"/>
        </w:rPr>
        <w:t xml:space="preserve">Рис. 1. Динаміка стажування студентів Уманського НУС </w:t>
      </w:r>
    </w:p>
    <w:p w:rsidR="0045253A" w:rsidRDefault="005531A8" w:rsidP="00E06B77">
      <w:pPr>
        <w:pStyle w:val="a9"/>
        <w:spacing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31A8">
        <w:rPr>
          <w:rFonts w:ascii="Times New Roman" w:hAnsi="Times New Roman" w:cs="Times New Roman"/>
          <w:b/>
          <w:sz w:val="28"/>
          <w:szCs w:val="28"/>
        </w:rPr>
        <w:t>за кордоном</w:t>
      </w:r>
    </w:p>
    <w:p w:rsidR="005531A8" w:rsidRPr="005531A8" w:rsidRDefault="005531A8" w:rsidP="004C4B07">
      <w:pPr>
        <w:pStyle w:val="a9"/>
        <w:ind w:left="0"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8A2415">
        <w:rPr>
          <w:rFonts w:ascii="Times New Roman" w:eastAsia="Tahoma" w:hAnsi="Times New Roman" w:cs="Times New Roman"/>
          <w:sz w:val="28"/>
          <w:szCs w:val="28"/>
          <w:lang w:bidi="ar-SA"/>
        </w:rPr>
        <w:t>Наукова та інноваційна діяльність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Уманського НУС на міжнародному рівні здійснювалась шляхом участі в спільних проектах, публікації наукових статей, участі в різноманітних тематичних заходах.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У рамках проекту SUAFRI-EPC Уманський НУС є включений до он-лайн переліку організацій, які є потенційними партнерами в реалізації проектів за програмою 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Європейського Союзу з науки та інновацій на 2014-2020 рр. «Горизонт 2020». </w:t>
      </w:r>
    </w:p>
    <w:p w:rsidR="008A2415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У рамках проекту 544524-TEMPUS-1-2013-1-PL-TEMPUS-SMHES "Рамка кваліфікацій в галузі наук про навколишнє середовище для українських університетів" на базі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Ягелонського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університету (м. Краків) відбувся черговий навчально-науковий візит учасників консорціуму. </w:t>
      </w:r>
    </w:p>
    <w:p w:rsidR="00495BBF" w:rsidRDefault="00495BBF" w:rsidP="008A2415">
      <w:pPr>
        <w:spacing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У 2016 році відбулося відкриття проекту </w:t>
      </w:r>
      <w:r>
        <w:rPr>
          <w:rFonts w:ascii="Times New Roman" w:eastAsia="Tahoma" w:hAnsi="Times New Roman" w:cs="Times New Roman"/>
          <w:color w:val="auto"/>
          <w:sz w:val="28"/>
          <w:szCs w:val="28"/>
          <w:lang w:val="en-US" w:bidi="ar-SA"/>
        </w:rPr>
        <w:t>GUMLOG</w:t>
      </w:r>
      <w:r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.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>Німецько-українська магістерська програма в області логістики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proofErr w:type="spellStart"/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>GUMLog</w:t>
      </w:r>
      <w:proofErr w:type="spellEnd"/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>, є спільним проектом, що фінансується Німецькою службою академічни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х обмінів - DAAD, між кафедрою «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>Морський бізнес та логістика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Університету Бремен, Київським національним економічним університетом ім. Вадима Гетьмана, Одеським національним морським університетом та Уманським національним університетом садівництва. Основною метою проекту є спільне розроблення навчальної програми та створення магістерської програми в 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області логістики відповідно до місцевого контексту в Україні, та стану справ в сфері транспорту і логістики. Роботи по проекту та його результати вважаються - в довгостроковій перспективі – вирішальним внеском в сталий регіональний розвиток України відповідно до Стратегії ст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алого розвитку «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Україна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2020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5472EF">
        <w:rPr>
          <w:rFonts w:ascii="Times New Roman" w:hAnsi="Times New Roman" w:cs="Times New Roman"/>
          <w:sz w:val="28"/>
          <w:szCs w:val="28"/>
          <w:shd w:val="clear" w:color="auto" w:fill="FFFFFF"/>
        </w:rPr>
        <w:t>. Крім того, проектний консорціум зацікавлений в постійній участі інших установ з академічного та ділового світу логістики, а також представників регіональної адміністрації, щоб започаткувати створення довгострокової українсько-німецької мережі міждисциплінарних експертів в області транспорту і логістики.</w:t>
      </w:r>
    </w:p>
    <w:p w:rsidR="00792C21" w:rsidRPr="00792C21" w:rsidRDefault="00792C21" w:rsidP="008A2415">
      <w:pPr>
        <w:spacing w:line="276" w:lineRule="auto"/>
        <w:ind w:firstLine="567"/>
        <w:contextualSpacing/>
        <w:jc w:val="both"/>
        <w:rPr>
          <w:rFonts w:ascii="Times New Roman" w:hAnsi="Times New Roman" w:cs="Times New Roman"/>
          <w:color w:val="121212"/>
          <w:sz w:val="28"/>
          <w:szCs w:val="28"/>
        </w:rPr>
      </w:pPr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На базі Економічного університету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м.Познань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(Польща) відбулася Міжнародна науково-практична конференція «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Virtual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Game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Method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in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Higher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</w:t>
      </w:r>
      <w:proofErr w:type="spellStart"/>
      <w:r w:rsidRPr="00792C21">
        <w:rPr>
          <w:rFonts w:ascii="Times New Roman" w:hAnsi="Times New Roman" w:cs="Times New Roman"/>
          <w:color w:val="121212"/>
          <w:sz w:val="28"/>
          <w:szCs w:val="28"/>
        </w:rPr>
        <w:t>Education</w:t>
      </w:r>
      <w:proofErr w:type="spellEnd"/>
      <w:r w:rsidRPr="00792C21">
        <w:rPr>
          <w:rFonts w:ascii="Times New Roman" w:hAnsi="Times New Roman" w:cs="Times New Roman"/>
          <w:color w:val="121212"/>
          <w:sz w:val="28"/>
          <w:szCs w:val="28"/>
        </w:rPr>
        <w:t xml:space="preserve"> (GAMES)», у якій взяли участь науковці Іспанії, Фінляндії, Угорщини, Австрії, Естонії, Польщі та України. Конференція проходила за фінансової підтримки програми ЄС у сфері вищої освіти «</w:t>
      </w:r>
      <w:r w:rsidRPr="00792C21">
        <w:rPr>
          <w:rFonts w:ascii="Times New Roman" w:hAnsi="Times New Roman" w:cs="Times New Roman"/>
          <w:color w:val="121212"/>
          <w:sz w:val="28"/>
          <w:szCs w:val="28"/>
          <w:lang w:val="en-US"/>
        </w:rPr>
        <w:t>Erasmus</w:t>
      </w:r>
      <w:r w:rsidRPr="00792C21">
        <w:rPr>
          <w:rFonts w:ascii="Times New Roman" w:hAnsi="Times New Roman" w:cs="Times New Roman"/>
          <w:color w:val="121212"/>
          <w:sz w:val="28"/>
          <w:szCs w:val="28"/>
          <w:lang w:val="ru-RU"/>
        </w:rPr>
        <w:t>+</w:t>
      </w:r>
      <w:r w:rsidRPr="00792C21">
        <w:rPr>
          <w:rFonts w:ascii="Times New Roman" w:hAnsi="Times New Roman" w:cs="Times New Roman"/>
          <w:color w:val="121212"/>
          <w:sz w:val="28"/>
          <w:szCs w:val="28"/>
        </w:rPr>
        <w:t>».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Наукові досліди на міжнародному рівні проводить доктор с.-г. наук, професор Мельник О.В. спільно з польською фірмою «ТЗОА АТЕНА» та доктор с.-г. наук, професор Яновський Ю.П. – </w:t>
      </w:r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 xml:space="preserve">Фірма «ФМС </w:t>
      </w:r>
      <w:proofErr w:type="spellStart"/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>Кемікал</w:t>
      </w:r>
      <w:proofErr w:type="spellEnd"/>
      <w:r w:rsidRPr="00B76AB8">
        <w:rPr>
          <w:rFonts w:ascii="Times New Roman" w:eastAsia="Tahoma" w:hAnsi="Times New Roman" w:cs="Times New Roman"/>
          <w:bCs/>
          <w:color w:val="auto"/>
          <w:sz w:val="28"/>
          <w:szCs w:val="28"/>
          <w:lang w:bidi="ar-SA"/>
        </w:rPr>
        <w:t xml:space="preserve"> Інтернешнл АГ», Швейцарія.</w:t>
      </w: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>За 201</w:t>
      </w:r>
      <w:r w:rsidR="00873966">
        <w:rPr>
          <w:rFonts w:ascii="Times New Roman" w:eastAsia="Tahoma" w:hAnsi="Times New Roman" w:cs="Times New Roman"/>
          <w:sz w:val="28"/>
          <w:szCs w:val="28"/>
          <w:lang w:bidi="ar-SA"/>
        </w:rPr>
        <w:t>6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рік студенти, аспіранти, викладачі та науковці стали учасниками </w:t>
      </w:r>
      <w:r w:rsidRPr="00B76AB8">
        <w:rPr>
          <w:rFonts w:ascii="Times New Roman" w:eastAsia="Tahoma" w:hAnsi="Times New Roman" w:cs="Times New Roman"/>
          <w:sz w:val="28"/>
          <w:szCs w:val="28"/>
          <w:lang w:val="ru-RU" w:bidi="ar-SA"/>
        </w:rPr>
        <w:t>22</w:t>
      </w:r>
      <w:r w:rsidRPr="00B76AB8">
        <w:rPr>
          <w:rFonts w:ascii="Times New Roman" w:eastAsia="Tahoma" w:hAnsi="Times New Roman" w:cs="Times New Roman"/>
          <w:sz w:val="28"/>
          <w:szCs w:val="28"/>
          <w:lang w:bidi="ar-SA"/>
        </w:rPr>
        <w:t xml:space="preserve"> Міжнародних семінарів, конференцій та інших тематичних заходів, що проходили за кордоном.</w:t>
      </w:r>
    </w:p>
    <w:p w:rsidR="001C1439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Делегація представників Уманського національного університету садівництва взяла участь у Міжнародній конференції «Підприємства, банки і регіональна політика в новій фінансовій перспективі Євросоюзу», що відбулася у Державній Вищій Професійній Школі в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Плоцьку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(Польща). 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Також університет було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вулючено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до редакцій Міжнародних видань: «Аннали UMCS» (Аннали університету Марії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Кюрі-Склодовської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), секція EEE «Садівництво» (професор В. П. Карпенко) та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Наукових праць інституту садівництва</w:t>
      </w:r>
      <w:r w:rsidRPr="00A407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(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>Zeszyty</w:t>
      </w:r>
      <w:r w:rsidRPr="00A407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>Naukowe</w:t>
      </w:r>
      <w:r w:rsidRPr="00A407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>Instytutu</w:t>
      </w:r>
      <w:r w:rsidRPr="00A4070B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 xml:space="preserve"> 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val="pl-PL" w:eastAsia="ru-RU" w:bidi="ar-SA"/>
        </w:rPr>
        <w:t>Ogrodnictwa</w:t>
      </w:r>
      <w:r w:rsidRPr="00B76AB8"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 w:bidi="ar-SA"/>
        </w:rPr>
        <w:t>, професор Мельник О.В.).</w:t>
      </w:r>
    </w:p>
    <w:p w:rsidR="00B76AB8" w:rsidRPr="00B76AB8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i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Творчі колективи Уманського НУС 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взяли </w:t>
      </w:r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>участ</w:t>
      </w:r>
      <w:r w:rsidR="00841C3B">
        <w:rPr>
          <w:rFonts w:ascii="Times New Roman" w:hAnsi="Times New Roman" w:cs="Times New Roman"/>
          <w:sz w:val="28"/>
          <w:szCs w:val="28"/>
          <w:shd w:val="clear" w:color="auto" w:fill="FFFFFF"/>
        </w:rPr>
        <w:t>ь</w:t>
      </w:r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Міжнародному конкурсі-фес</w:t>
      </w:r>
      <w:r w:rsidR="00841C3B">
        <w:rPr>
          <w:rFonts w:ascii="Times New Roman" w:hAnsi="Times New Roman" w:cs="Times New Roman"/>
          <w:sz w:val="28"/>
          <w:szCs w:val="28"/>
          <w:shd w:val="clear" w:color="auto" w:fill="FFFFFF"/>
        </w:rPr>
        <w:t>тивалі «SUNNY SMILE» в Болгарії.</w:t>
      </w:r>
      <w:r w:rsidR="00841C3B" w:rsidRPr="00841C3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Делегація в кількості 50 осіб, до складу якої увійшли танцювальні колективи Уманського національного університету садівництва «Уманська перлинка», театр танцю «Модерн», народний самодіяльний ансамбль танцю «Нивка» та юна співачка Марія </w:t>
      </w:r>
      <w:proofErr w:type="spellStart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</w:t>
      </w:r>
      <w:proofErr w:type="spellEnd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блискуче презентували Умань на ІІ Міжнародному конкурсі-фестивалі мистецтв «SUNNY SMILE»-2016 в болгарських містах </w:t>
      </w:r>
      <w:proofErr w:type="spellStart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>Кітен</w:t>
      </w:r>
      <w:proofErr w:type="spellEnd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та Приморську, де стали володарями 4-х Гран-Прі в різних номінаціях, а Марія </w:t>
      </w:r>
      <w:proofErr w:type="spellStart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>Балан</w:t>
      </w:r>
      <w:proofErr w:type="spellEnd"/>
      <w:r w:rsidR="00841C3B" w:rsidRPr="00DB219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стала лауреатом міжнародного конкурсу-фестивалю в жанрі естрадного вокалу, отримавши І місце.</w:t>
      </w:r>
    </w:p>
    <w:p w:rsidR="00B76AB8" w:rsidRPr="00841C3B" w:rsidRDefault="00B76AB8" w:rsidP="008A2415">
      <w:pPr>
        <w:spacing w:line="276" w:lineRule="auto"/>
        <w:ind w:firstLine="567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Для підтримки наукової діяльності, покращення навчального й виховного </w:t>
      </w:r>
      <w:r w:rsidRP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lastRenderedPageBreak/>
        <w:t>процесів, науковці та викладачі УНУС мають широкий доступ до різноманітних грантових та стипендіальних програм, а саме: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Індивідуальні гранти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Еразмус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+ (Євросоюз)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DAAD (Німеччина)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Програма стажування молодих викладачів агрономічних та технічних спеціальностей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Apollo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Німеччина.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Фулбрайт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, та Е.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Маскі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викладачами FEP (США).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Стипендіальна програма ім. Станіслава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Толпи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(Польща)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Стипендіальні програми ЮНЕСКО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Програма обміну для студентів вищих навчальних закладів UGRAD (США)</w:t>
      </w:r>
    </w:p>
    <w:p w:rsidR="00B76AB8" w:rsidRPr="00B76AB8" w:rsidRDefault="00B76AB8" w:rsidP="008A2415">
      <w:pPr>
        <w:widowControl/>
        <w:numPr>
          <w:ilvl w:val="0"/>
          <w:numId w:val="12"/>
        </w:numPr>
        <w:tabs>
          <w:tab w:val="left" w:pos="0"/>
          <w:tab w:val="left" w:pos="993"/>
        </w:tabs>
        <w:spacing w:line="276" w:lineRule="auto"/>
        <w:ind w:left="0" w:firstLine="709"/>
        <w:contextualSpacing/>
        <w:jc w:val="both"/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</w:pPr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Навчальна програма </w:t>
      </w:r>
      <w:proofErr w:type="spellStart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>Ісфрада</w:t>
      </w:r>
      <w:proofErr w:type="spellEnd"/>
      <w:r w:rsidRPr="00B76AB8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(Франція)</w:t>
      </w:r>
      <w:r w:rsidR="00841C3B">
        <w:rPr>
          <w:rFonts w:ascii="Times New Roman" w:eastAsia="Tahoma" w:hAnsi="Times New Roman" w:cs="Times New Roman"/>
          <w:color w:val="auto"/>
          <w:sz w:val="28"/>
          <w:szCs w:val="28"/>
          <w:lang w:bidi="ar-SA"/>
        </w:rPr>
        <w:t xml:space="preserve"> </w:t>
      </w:r>
    </w:p>
    <w:p w:rsidR="000D34C6" w:rsidRDefault="00CF04D6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Завдяки </w:t>
      </w:r>
      <w:r w:rsidR="001E4F5F">
        <w:rPr>
          <w:rFonts w:ascii="Times New Roman" w:hAnsi="Times New Roman" w:cs="Times New Roman"/>
          <w:sz w:val="28"/>
          <w:szCs w:val="28"/>
        </w:rPr>
        <w:t>активній роботі з пропагування освітніх послуг університету за</w:t>
      </w:r>
      <w:r w:rsidR="00841C3B">
        <w:rPr>
          <w:rFonts w:ascii="Times New Roman" w:hAnsi="Times New Roman" w:cs="Times New Roman"/>
          <w:sz w:val="28"/>
          <w:szCs w:val="28"/>
        </w:rPr>
        <w:t xml:space="preserve"> </w:t>
      </w:r>
      <w:r w:rsidR="001E4F5F">
        <w:rPr>
          <w:rFonts w:ascii="Times New Roman" w:hAnsi="Times New Roman" w:cs="Times New Roman"/>
          <w:sz w:val="28"/>
          <w:szCs w:val="28"/>
        </w:rPr>
        <w:t xml:space="preserve">кордоном </w:t>
      </w:r>
      <w:r>
        <w:rPr>
          <w:rFonts w:ascii="Times New Roman" w:hAnsi="Times New Roman" w:cs="Times New Roman"/>
          <w:sz w:val="28"/>
          <w:szCs w:val="28"/>
        </w:rPr>
        <w:t xml:space="preserve"> кількість іноземних студентів збільшилась. 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Сьогодні в університеті навчається </w:t>
      </w:r>
      <w:r w:rsidR="00841C3B">
        <w:rPr>
          <w:rFonts w:ascii="Times New Roman" w:hAnsi="Times New Roman" w:cs="Times New Roman"/>
          <w:sz w:val="28"/>
          <w:szCs w:val="28"/>
        </w:rPr>
        <w:t>36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осіб з Туркменістану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Азейбарджану</w:t>
      </w:r>
      <w:proofErr w:type="spellEnd"/>
      <w:r w:rsidR="00841C3B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Тур</w:t>
      </w:r>
      <w:r w:rsidR="003601D8">
        <w:rPr>
          <w:rFonts w:ascii="Times New Roman" w:hAnsi="Times New Roman" w:cs="Times New Roman"/>
          <w:sz w:val="28"/>
          <w:szCs w:val="28"/>
        </w:rPr>
        <w:t>еччини, Узбекистану</w:t>
      </w:r>
      <w:r w:rsidR="00841C3B">
        <w:rPr>
          <w:rFonts w:ascii="Times New Roman" w:hAnsi="Times New Roman" w:cs="Times New Roman"/>
          <w:sz w:val="28"/>
          <w:szCs w:val="28"/>
        </w:rPr>
        <w:t xml:space="preserve"> та Республіки Камерун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починаючи з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по </w:t>
      </w:r>
      <w:r>
        <w:rPr>
          <w:rFonts w:ascii="Times New Roman" w:hAnsi="Times New Roman" w:cs="Times New Roman"/>
          <w:sz w:val="28"/>
          <w:szCs w:val="28"/>
        </w:rPr>
        <w:t>5</w:t>
      </w:r>
      <w:r w:rsidR="000D34C6" w:rsidRPr="00324DC3">
        <w:rPr>
          <w:rFonts w:ascii="Times New Roman" w:hAnsi="Times New Roman" w:cs="Times New Roman"/>
          <w:sz w:val="28"/>
          <w:szCs w:val="28"/>
        </w:rPr>
        <w:t xml:space="preserve"> курс. </w:t>
      </w:r>
      <w:r>
        <w:rPr>
          <w:rFonts w:ascii="Times New Roman" w:hAnsi="Times New Roman" w:cs="Times New Roman"/>
          <w:sz w:val="28"/>
          <w:szCs w:val="28"/>
        </w:rPr>
        <w:t>У 2015 році почало функціонувати відділення з підготовки іноземних громадян до вступу у ВНЗ</w:t>
      </w:r>
      <w:r w:rsidR="00841C3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на якому навча</w:t>
      </w:r>
      <w:r w:rsidR="00841C3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ться слухач</w:t>
      </w:r>
      <w:r w:rsidR="00841C3B">
        <w:rPr>
          <w:rFonts w:ascii="Times New Roman" w:hAnsi="Times New Roman" w:cs="Times New Roman"/>
          <w:sz w:val="28"/>
          <w:szCs w:val="28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з Республіки </w:t>
      </w:r>
      <w:r w:rsidR="00841C3B">
        <w:rPr>
          <w:rFonts w:ascii="Times New Roman" w:hAnsi="Times New Roman" w:cs="Times New Roman"/>
          <w:sz w:val="28"/>
          <w:szCs w:val="28"/>
        </w:rPr>
        <w:t>Єгипет, Туніс та Китайської Народної Республіки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0D34C6" w:rsidRPr="00324DC3">
        <w:rPr>
          <w:rFonts w:ascii="Times New Roman" w:hAnsi="Times New Roman" w:cs="Times New Roman"/>
          <w:sz w:val="28"/>
          <w:szCs w:val="28"/>
        </w:rPr>
        <w:t>Проводиться активна робота з розширення географії абітурієнтів та збільшення числа іноземних студентів.</w:t>
      </w:r>
    </w:p>
    <w:p w:rsidR="00285147" w:rsidRPr="00285147" w:rsidRDefault="00285147" w:rsidP="00285147">
      <w:pPr>
        <w:pStyle w:val="a9"/>
        <w:spacing w:line="276" w:lineRule="auto"/>
        <w:ind w:left="0" w:firstLine="851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285147">
        <w:rPr>
          <w:rFonts w:ascii="Times New Roman" w:hAnsi="Times New Roman" w:cs="Times New Roman"/>
          <w:i/>
          <w:sz w:val="28"/>
          <w:szCs w:val="28"/>
        </w:rPr>
        <w:t>Таблиця 2</w:t>
      </w:r>
    </w:p>
    <w:p w:rsidR="00285147" w:rsidRDefault="00285147" w:rsidP="00285147">
      <w:pPr>
        <w:pStyle w:val="a9"/>
        <w:spacing w:line="276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5147">
        <w:rPr>
          <w:rFonts w:ascii="Times New Roman" w:hAnsi="Times New Roman" w:cs="Times New Roman"/>
          <w:b/>
          <w:sz w:val="28"/>
          <w:szCs w:val="28"/>
        </w:rPr>
        <w:t xml:space="preserve">Іноземні студенти 2016-2017 </w:t>
      </w:r>
      <w:proofErr w:type="spellStart"/>
      <w:r w:rsidRPr="00285147">
        <w:rPr>
          <w:rFonts w:ascii="Times New Roman" w:hAnsi="Times New Roman" w:cs="Times New Roman"/>
          <w:b/>
          <w:sz w:val="28"/>
          <w:szCs w:val="28"/>
        </w:rPr>
        <w:t>н.р</w:t>
      </w:r>
      <w:proofErr w:type="spellEnd"/>
      <w:r w:rsidRPr="00285147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22"/>
        <w:gridCol w:w="3404"/>
        <w:gridCol w:w="3314"/>
        <w:gridCol w:w="2332"/>
      </w:tblGrid>
      <w:tr w:rsidR="00285147" w:rsidTr="003601D8">
        <w:tc>
          <w:tcPr>
            <w:tcW w:w="522" w:type="dxa"/>
          </w:tcPr>
          <w:p w:rsidR="00285147" w:rsidRPr="00B67EFD" w:rsidRDefault="00285147" w:rsidP="00B67EF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 w:rsidRPr="00B67EFD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04" w:type="dxa"/>
          </w:tcPr>
          <w:p w:rsidR="00285147" w:rsidRPr="00B67EFD" w:rsidRDefault="00285147" w:rsidP="00B67EF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b/>
                <w:sz w:val="28"/>
                <w:szCs w:val="28"/>
              </w:rPr>
              <w:t>ПІБ студента</w:t>
            </w:r>
          </w:p>
        </w:tc>
        <w:tc>
          <w:tcPr>
            <w:tcW w:w="3314" w:type="dxa"/>
          </w:tcPr>
          <w:p w:rsidR="00285147" w:rsidRPr="00B67EFD" w:rsidRDefault="00285147" w:rsidP="00B67EF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b/>
                <w:sz w:val="28"/>
                <w:szCs w:val="28"/>
              </w:rPr>
              <w:t>Факультет</w:t>
            </w:r>
          </w:p>
        </w:tc>
        <w:tc>
          <w:tcPr>
            <w:tcW w:w="2332" w:type="dxa"/>
          </w:tcPr>
          <w:p w:rsidR="00285147" w:rsidRPr="00B67EFD" w:rsidRDefault="00285147" w:rsidP="00B67EFD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b/>
                <w:sz w:val="28"/>
                <w:szCs w:val="28"/>
              </w:rPr>
              <w:t>Країна</w:t>
            </w:r>
          </w:p>
        </w:tc>
      </w:tr>
      <w:tr w:rsidR="00B67EFD" w:rsidTr="006E72C6">
        <w:tc>
          <w:tcPr>
            <w:tcW w:w="522" w:type="dxa"/>
            <w:vAlign w:val="center"/>
          </w:tcPr>
          <w:p w:rsidR="00B67EFD" w:rsidRPr="00B67EFD" w:rsidRDefault="00B67EFD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4" w:type="dxa"/>
            <w:vAlign w:val="center"/>
          </w:tcPr>
          <w:p w:rsidR="00B67EFD" w:rsidRPr="00B67EFD" w:rsidRDefault="00B67EFD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Абдуресулов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Велназар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Бердиназарович</w:t>
            </w:r>
            <w:proofErr w:type="spellEnd"/>
          </w:p>
        </w:tc>
        <w:tc>
          <w:tcPr>
            <w:tcW w:w="3314" w:type="dxa"/>
            <w:vAlign w:val="center"/>
          </w:tcPr>
          <w:p w:rsidR="00B67EFD" w:rsidRPr="00B67EFD" w:rsidRDefault="00B67EFD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B67EFD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Реджепов</w:t>
            </w:r>
            <w:proofErr w:type="spellEnd"/>
          </w:p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Даянч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Акмурадович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Пенджієв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Хайтмурат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Пенджієвич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Інженерно-технологічний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Торекулов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Какаджан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Худайназарович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Нургелдієв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Ораз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Аллабердиєвич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Емрах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Олбак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Турецька Республіка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Менглієв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Азіз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Оралович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Джабраілзаде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Ніджат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Субхан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огли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Азербайджанська Республіка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67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Холматов</w:t>
            </w:r>
            <w:proofErr w:type="spellEnd"/>
            <w:r w:rsidRPr="00B67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B67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Зафар</w:t>
            </w:r>
            <w:proofErr w:type="spellEnd"/>
          </w:p>
          <w:p w:rsidR="003601D8" w:rsidRPr="00B67EFD" w:rsidRDefault="003601D8" w:rsidP="006E72C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val="en-US" w:eastAsia="ru-RU"/>
              </w:rPr>
            </w:pPr>
            <w:proofErr w:type="spellStart"/>
            <w:r w:rsidRPr="00B67EFD"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  <w:t>Тулкунович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Узбекистан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eastAsia="ru-RU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Бахадіров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Сухраб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Бахадірович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Нурмаммедов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Назар</w:t>
            </w:r>
          </w:p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Киясович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Нурмаммедов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Хакназар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Киясович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Сапаркулиєв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Рейімгули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Аширович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B67E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Інженерно-технологічний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Еркінбайов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Суражіддін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Еркінбайович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Ілязов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Ихлас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Жумадурдиєвич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Мусурманкулова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Новруза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Бабахановна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Плодоовочівництво, екологія та захист рослин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Тойлиєв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Оразмират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Базарович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Шерданов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Шахрух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Бабамурадович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Гиличлиєва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Гулпам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Нурмадівна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Меметханов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Сапардурди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Язбердиєвич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Бабаєв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Шамират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Гарлийович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Хаітов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Нургелдійович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6E72C6" w:rsidTr="006E72C6">
        <w:tc>
          <w:tcPr>
            <w:tcW w:w="522" w:type="dxa"/>
            <w:vAlign w:val="center"/>
          </w:tcPr>
          <w:p w:rsidR="006E72C6" w:rsidRPr="00B67EFD" w:rsidRDefault="006E72C6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4" w:type="dxa"/>
            <w:vAlign w:val="center"/>
          </w:tcPr>
          <w:p w:rsidR="006E72C6" w:rsidRPr="00B67EFD" w:rsidRDefault="006E72C6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Чонкараєв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Нуркабул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Шамурадович</w:t>
            </w:r>
            <w:proofErr w:type="spellEnd"/>
          </w:p>
        </w:tc>
        <w:tc>
          <w:tcPr>
            <w:tcW w:w="3314" w:type="dxa"/>
            <w:vAlign w:val="center"/>
          </w:tcPr>
          <w:p w:rsidR="006E72C6" w:rsidRPr="00B67EFD" w:rsidRDefault="006E72C6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6E72C6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Туркменістан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Акво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Валері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Мбуї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Камерун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Малла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Ларісса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Естер  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Камерун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Нкенганьї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Н’мандела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Атабонг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Менеджмент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Камерун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Пемпем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Нжоя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Ібрахім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Мунір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Економіка і підприємництво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Камерун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Абдалла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Юсрі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Ельсаід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Юсрі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Мустафа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Рабіє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Мустафа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30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Сюй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Чжундун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Китайська Народна Республіка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Гхоззі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Ашреф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3601D8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Туніс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Абонагі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Іслаам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Ахмед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Хассан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Елбедвей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Ельсаід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Сюй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Хуейпен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Китайська Народна Республіка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Абуельсуад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Мохамед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Тарек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Авни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Ібрагім</w:t>
            </w:r>
            <w:proofErr w:type="spellEnd"/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  <w:tr w:rsidR="003601D8" w:rsidTr="006E72C6">
        <w:tc>
          <w:tcPr>
            <w:tcW w:w="522" w:type="dxa"/>
            <w:vAlign w:val="center"/>
          </w:tcPr>
          <w:p w:rsidR="003601D8" w:rsidRPr="00B67EFD" w:rsidRDefault="003601D8" w:rsidP="006E72C6">
            <w:pPr>
              <w:pStyle w:val="a9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3404" w:type="dxa"/>
            <w:vAlign w:val="center"/>
          </w:tcPr>
          <w:p w:rsidR="003601D8" w:rsidRPr="00B67EFD" w:rsidRDefault="003601D8" w:rsidP="006E72C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Елдженді</w:t>
            </w:r>
            <w:proofErr w:type="spellEnd"/>
            <w:r w:rsidRPr="00B67EFD">
              <w:rPr>
                <w:rFonts w:ascii="Times New Roman" w:hAnsi="Times New Roman" w:cs="Times New Roman"/>
                <w:sz w:val="28"/>
                <w:szCs w:val="28"/>
              </w:rPr>
              <w:t xml:space="preserve"> Алі Ахмед Алі</w:t>
            </w:r>
          </w:p>
        </w:tc>
        <w:tc>
          <w:tcPr>
            <w:tcW w:w="3314" w:type="dxa"/>
            <w:vAlign w:val="center"/>
          </w:tcPr>
          <w:p w:rsidR="003601D8" w:rsidRPr="00B67EFD" w:rsidRDefault="003601D8" w:rsidP="00841A5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67EFD">
              <w:rPr>
                <w:rFonts w:ascii="Times New Roman" w:hAnsi="Times New Roman" w:cs="Times New Roman"/>
                <w:sz w:val="28"/>
                <w:szCs w:val="28"/>
              </w:rPr>
              <w:t>Відділення УНУС з підготовки   іноземних громадян до вступу у ВНЗ</w:t>
            </w:r>
          </w:p>
        </w:tc>
        <w:tc>
          <w:tcPr>
            <w:tcW w:w="2332" w:type="dxa"/>
            <w:vAlign w:val="center"/>
          </w:tcPr>
          <w:p w:rsidR="003601D8" w:rsidRDefault="006E72C6" w:rsidP="006E72C6">
            <w:pPr>
              <w:pStyle w:val="a9"/>
              <w:spacing w:line="276" w:lineRule="auto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Республіка Єгипет</w:t>
            </w:r>
          </w:p>
        </w:tc>
      </w:tr>
    </w:tbl>
    <w:p w:rsidR="00285147" w:rsidRPr="00324DC3" w:rsidRDefault="00285147" w:rsidP="008A2415">
      <w:pPr>
        <w:pStyle w:val="a9"/>
        <w:spacing w:line="276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285147" w:rsidRPr="00324DC3" w:rsidSect="004D26F9">
      <w:pgSz w:w="11900" w:h="16840"/>
      <w:pgMar w:top="993" w:right="843" w:bottom="993" w:left="1701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3CF0" w:rsidRDefault="00DB3CF0">
      <w:r>
        <w:separator/>
      </w:r>
    </w:p>
  </w:endnote>
  <w:endnote w:type="continuationSeparator" w:id="0">
    <w:p w:rsidR="00DB3CF0" w:rsidRDefault="00DB3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3CF0" w:rsidRDefault="00DB3CF0"/>
  </w:footnote>
  <w:footnote w:type="continuationSeparator" w:id="0">
    <w:p w:rsidR="00DB3CF0" w:rsidRDefault="00DB3CF0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366BC"/>
    <w:multiLevelType w:val="hybridMultilevel"/>
    <w:tmpl w:val="75F01518"/>
    <w:lvl w:ilvl="0" w:tplc="ED78935A">
      <w:start w:val="1"/>
      <w:numFmt w:val="decimal"/>
      <w:lvlText w:val="%1."/>
      <w:lvlJc w:val="left"/>
      <w:pPr>
        <w:ind w:left="1436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E0E6B1C"/>
    <w:multiLevelType w:val="hybridMultilevel"/>
    <w:tmpl w:val="DFC4EA2C"/>
    <w:lvl w:ilvl="0" w:tplc="325437AA">
      <w:start w:val="1"/>
      <w:numFmt w:val="decimal"/>
      <w:lvlRestart w:val="0"/>
      <w:lvlText w:val="%1."/>
      <w:lvlJc w:val="left"/>
      <w:pPr>
        <w:ind w:left="720" w:hanging="363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255A94"/>
    <w:multiLevelType w:val="hybridMultilevel"/>
    <w:tmpl w:val="E2BAA8E2"/>
    <w:lvl w:ilvl="0" w:tplc="2840A63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31" w:hanging="360"/>
      </w:pPr>
    </w:lvl>
    <w:lvl w:ilvl="2" w:tplc="0409001B" w:tentative="1">
      <w:start w:val="1"/>
      <w:numFmt w:val="lowerRoman"/>
      <w:lvlText w:val="%3."/>
      <w:lvlJc w:val="right"/>
      <w:pPr>
        <w:ind w:left="2651" w:hanging="180"/>
      </w:pPr>
    </w:lvl>
    <w:lvl w:ilvl="3" w:tplc="0409000F" w:tentative="1">
      <w:start w:val="1"/>
      <w:numFmt w:val="decimal"/>
      <w:lvlText w:val="%4."/>
      <w:lvlJc w:val="left"/>
      <w:pPr>
        <w:ind w:left="3371" w:hanging="360"/>
      </w:pPr>
    </w:lvl>
    <w:lvl w:ilvl="4" w:tplc="04090019" w:tentative="1">
      <w:start w:val="1"/>
      <w:numFmt w:val="lowerLetter"/>
      <w:lvlText w:val="%5."/>
      <w:lvlJc w:val="left"/>
      <w:pPr>
        <w:ind w:left="4091" w:hanging="360"/>
      </w:pPr>
    </w:lvl>
    <w:lvl w:ilvl="5" w:tplc="0409001B" w:tentative="1">
      <w:start w:val="1"/>
      <w:numFmt w:val="lowerRoman"/>
      <w:lvlText w:val="%6."/>
      <w:lvlJc w:val="right"/>
      <w:pPr>
        <w:ind w:left="4811" w:hanging="180"/>
      </w:pPr>
    </w:lvl>
    <w:lvl w:ilvl="6" w:tplc="0409000F" w:tentative="1">
      <w:start w:val="1"/>
      <w:numFmt w:val="decimal"/>
      <w:lvlText w:val="%7."/>
      <w:lvlJc w:val="left"/>
      <w:pPr>
        <w:ind w:left="5531" w:hanging="360"/>
      </w:pPr>
    </w:lvl>
    <w:lvl w:ilvl="7" w:tplc="04090019" w:tentative="1">
      <w:start w:val="1"/>
      <w:numFmt w:val="lowerLetter"/>
      <w:lvlText w:val="%8."/>
      <w:lvlJc w:val="left"/>
      <w:pPr>
        <w:ind w:left="6251" w:hanging="360"/>
      </w:pPr>
    </w:lvl>
    <w:lvl w:ilvl="8" w:tplc="04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2DBA0552"/>
    <w:multiLevelType w:val="hybridMultilevel"/>
    <w:tmpl w:val="A704AF74"/>
    <w:lvl w:ilvl="0" w:tplc="93D4D8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F45E2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CE873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822CA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1C05C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93811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138857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A25D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D6A4F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>
    <w:nsid w:val="3C345DEA"/>
    <w:multiLevelType w:val="multilevel"/>
    <w:tmpl w:val="646C0C5C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0362B90"/>
    <w:multiLevelType w:val="multilevel"/>
    <w:tmpl w:val="F564930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361CF4"/>
    <w:multiLevelType w:val="multilevel"/>
    <w:tmpl w:val="D37E3618"/>
    <w:lvl w:ilvl="0">
      <w:start w:val="2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4DD76819"/>
    <w:multiLevelType w:val="hybridMultilevel"/>
    <w:tmpl w:val="9AE25284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5066190C"/>
    <w:multiLevelType w:val="hybridMultilevel"/>
    <w:tmpl w:val="C6AEB3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EF5D4F"/>
    <w:multiLevelType w:val="hybridMultilevel"/>
    <w:tmpl w:val="3BFCC490"/>
    <w:lvl w:ilvl="0" w:tplc="39B64BE2">
      <w:start w:val="20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1802B7"/>
    <w:multiLevelType w:val="hybridMultilevel"/>
    <w:tmpl w:val="88A83D00"/>
    <w:lvl w:ilvl="0" w:tplc="AAF287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6E224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35ACD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3AE82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2E271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D2E77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828F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A2708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FA4702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1">
    <w:nsid w:val="762A7D37"/>
    <w:multiLevelType w:val="hybridMultilevel"/>
    <w:tmpl w:val="DFC4DB7C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090019" w:tentative="1">
      <w:start w:val="1"/>
      <w:numFmt w:val="lowerLetter"/>
      <w:lvlText w:val="%2."/>
      <w:lvlJc w:val="left"/>
      <w:pPr>
        <w:ind w:left="2291" w:hanging="360"/>
      </w:pPr>
    </w:lvl>
    <w:lvl w:ilvl="2" w:tplc="0409001B" w:tentative="1">
      <w:start w:val="1"/>
      <w:numFmt w:val="lowerRoman"/>
      <w:lvlText w:val="%3."/>
      <w:lvlJc w:val="right"/>
      <w:pPr>
        <w:ind w:left="3011" w:hanging="180"/>
      </w:pPr>
    </w:lvl>
    <w:lvl w:ilvl="3" w:tplc="0409000F" w:tentative="1">
      <w:start w:val="1"/>
      <w:numFmt w:val="decimal"/>
      <w:lvlText w:val="%4."/>
      <w:lvlJc w:val="left"/>
      <w:pPr>
        <w:ind w:left="3731" w:hanging="360"/>
      </w:pPr>
    </w:lvl>
    <w:lvl w:ilvl="4" w:tplc="04090019" w:tentative="1">
      <w:start w:val="1"/>
      <w:numFmt w:val="lowerLetter"/>
      <w:lvlText w:val="%5."/>
      <w:lvlJc w:val="left"/>
      <w:pPr>
        <w:ind w:left="4451" w:hanging="360"/>
      </w:pPr>
    </w:lvl>
    <w:lvl w:ilvl="5" w:tplc="0409001B" w:tentative="1">
      <w:start w:val="1"/>
      <w:numFmt w:val="lowerRoman"/>
      <w:lvlText w:val="%6."/>
      <w:lvlJc w:val="right"/>
      <w:pPr>
        <w:ind w:left="5171" w:hanging="180"/>
      </w:pPr>
    </w:lvl>
    <w:lvl w:ilvl="6" w:tplc="0409000F" w:tentative="1">
      <w:start w:val="1"/>
      <w:numFmt w:val="decimal"/>
      <w:lvlText w:val="%7."/>
      <w:lvlJc w:val="left"/>
      <w:pPr>
        <w:ind w:left="5891" w:hanging="360"/>
      </w:pPr>
    </w:lvl>
    <w:lvl w:ilvl="7" w:tplc="04090019" w:tentative="1">
      <w:start w:val="1"/>
      <w:numFmt w:val="lowerLetter"/>
      <w:lvlText w:val="%8."/>
      <w:lvlJc w:val="left"/>
      <w:pPr>
        <w:ind w:left="6611" w:hanging="360"/>
      </w:pPr>
    </w:lvl>
    <w:lvl w:ilvl="8" w:tplc="040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1"/>
  </w:num>
  <w:num w:numId="7">
    <w:abstractNumId w:val="9"/>
  </w:num>
  <w:num w:numId="8">
    <w:abstractNumId w:val="7"/>
  </w:num>
  <w:num w:numId="9">
    <w:abstractNumId w:val="0"/>
  </w:num>
  <w:num w:numId="10">
    <w:abstractNumId w:val="3"/>
  </w:num>
  <w:num w:numId="11">
    <w:abstractNumId w:val="1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70B0"/>
    <w:rsid w:val="00012D4F"/>
    <w:rsid w:val="00066B94"/>
    <w:rsid w:val="00093936"/>
    <w:rsid w:val="000D34C6"/>
    <w:rsid w:val="00166A38"/>
    <w:rsid w:val="001C1439"/>
    <w:rsid w:val="001E4F5F"/>
    <w:rsid w:val="00214A6D"/>
    <w:rsid w:val="00216B2B"/>
    <w:rsid w:val="0022068B"/>
    <w:rsid w:val="00223129"/>
    <w:rsid w:val="00224CDA"/>
    <w:rsid w:val="00265FFF"/>
    <w:rsid w:val="00285147"/>
    <w:rsid w:val="0029658E"/>
    <w:rsid w:val="002C6FDC"/>
    <w:rsid w:val="002D0BA6"/>
    <w:rsid w:val="002D28CD"/>
    <w:rsid w:val="003157A5"/>
    <w:rsid w:val="00324DC3"/>
    <w:rsid w:val="00355548"/>
    <w:rsid w:val="003601D8"/>
    <w:rsid w:val="00383DEC"/>
    <w:rsid w:val="003A1393"/>
    <w:rsid w:val="003C366B"/>
    <w:rsid w:val="003F5820"/>
    <w:rsid w:val="00414CE2"/>
    <w:rsid w:val="0045253A"/>
    <w:rsid w:val="00495BBF"/>
    <w:rsid w:val="004B438D"/>
    <w:rsid w:val="004C1F57"/>
    <w:rsid w:val="004C4B07"/>
    <w:rsid w:val="004D26F9"/>
    <w:rsid w:val="004F3A03"/>
    <w:rsid w:val="00550BD3"/>
    <w:rsid w:val="005531A8"/>
    <w:rsid w:val="006429DE"/>
    <w:rsid w:val="006C73A7"/>
    <w:rsid w:val="006E72C6"/>
    <w:rsid w:val="007125F5"/>
    <w:rsid w:val="00792C21"/>
    <w:rsid w:val="007C21C8"/>
    <w:rsid w:val="00841C3B"/>
    <w:rsid w:val="00873966"/>
    <w:rsid w:val="008A2415"/>
    <w:rsid w:val="008C611C"/>
    <w:rsid w:val="00941ADE"/>
    <w:rsid w:val="009501E0"/>
    <w:rsid w:val="00983CE0"/>
    <w:rsid w:val="009B085C"/>
    <w:rsid w:val="009C4B5D"/>
    <w:rsid w:val="00A4070B"/>
    <w:rsid w:val="00A4368E"/>
    <w:rsid w:val="00AB5519"/>
    <w:rsid w:val="00AE2A85"/>
    <w:rsid w:val="00B179D8"/>
    <w:rsid w:val="00B67EFD"/>
    <w:rsid w:val="00B72D19"/>
    <w:rsid w:val="00B76AB8"/>
    <w:rsid w:val="00B943E1"/>
    <w:rsid w:val="00BF4B3C"/>
    <w:rsid w:val="00C406C6"/>
    <w:rsid w:val="00C737CF"/>
    <w:rsid w:val="00C860D6"/>
    <w:rsid w:val="00CC3433"/>
    <w:rsid w:val="00CC58F1"/>
    <w:rsid w:val="00CE4E4C"/>
    <w:rsid w:val="00CE76E1"/>
    <w:rsid w:val="00CF04D6"/>
    <w:rsid w:val="00D11F80"/>
    <w:rsid w:val="00D304E2"/>
    <w:rsid w:val="00D706EF"/>
    <w:rsid w:val="00DA1C7B"/>
    <w:rsid w:val="00DB3CF0"/>
    <w:rsid w:val="00DF267C"/>
    <w:rsid w:val="00E06B77"/>
    <w:rsid w:val="00E121C0"/>
    <w:rsid w:val="00E170B0"/>
    <w:rsid w:val="00E61D9A"/>
    <w:rsid w:val="00E74B01"/>
    <w:rsid w:val="00EA538D"/>
    <w:rsid w:val="00EC135C"/>
    <w:rsid w:val="00F27D86"/>
    <w:rsid w:val="00F51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uk-UA" w:eastAsia="uk-UA" w:bidi="uk-U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0080"/>
      <w:u w:val="single"/>
    </w:rPr>
  </w:style>
  <w:style w:type="character" w:customStyle="1" w:styleId="3">
    <w:name w:val="Основни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52"/>
      <w:szCs w:val="52"/>
      <w:u w:val="none"/>
    </w:rPr>
  </w:style>
  <w:style w:type="character" w:customStyle="1" w:styleId="31">
    <w:name w:val="Основни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lang w:val="uk-UA" w:eastAsia="uk-UA" w:bidi="uk-UA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7">
    <w:name w:val="Основний текст (7)_"/>
    <w:basedOn w:val="a0"/>
    <w:link w:val="7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8">
    <w:name w:val="Основний текст (8)_"/>
    <w:basedOn w:val="a0"/>
    <w:link w:val="8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9"/>
      <w:szCs w:val="9"/>
      <w:u w:val="none"/>
    </w:rPr>
  </w:style>
  <w:style w:type="character" w:customStyle="1" w:styleId="8FranklinGothicDemi11pt1pt60">
    <w:name w:val="Основний текст (8) + Franklin Gothic Demi;11 pt;Курсив;Інтервал 1 pt;Масштаб 60%"/>
    <w:basedOn w:val="8"/>
    <w:rPr>
      <w:rFonts w:ascii="Franklin Gothic Demi" w:eastAsia="Franklin Gothic Demi" w:hAnsi="Franklin Gothic Demi" w:cs="Franklin Gothic Demi"/>
      <w:b w:val="0"/>
      <w:bCs w:val="0"/>
      <w:i/>
      <w:iCs/>
      <w:smallCaps w:val="0"/>
      <w:strike w:val="0"/>
      <w:color w:val="000000"/>
      <w:spacing w:val="20"/>
      <w:w w:val="60"/>
      <w:position w:val="0"/>
      <w:sz w:val="22"/>
      <w:szCs w:val="22"/>
      <w:u w:val="none"/>
      <w:lang w:val="uk-UA" w:eastAsia="uk-UA" w:bidi="uk-UA"/>
    </w:rPr>
  </w:style>
  <w:style w:type="character" w:customStyle="1" w:styleId="81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82">
    <w:name w:val="Основний текст (8)"/>
    <w:basedOn w:val="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uk-UA" w:eastAsia="uk-UA" w:bidi="uk-UA"/>
    </w:rPr>
  </w:style>
  <w:style w:type="character" w:customStyle="1" w:styleId="a6">
    <w:name w:val="Підпис до зображення_"/>
    <w:basedOn w:val="a0"/>
    <w:link w:val="a7"/>
    <w:rPr>
      <w:rFonts w:ascii="Times New Roman" w:eastAsia="Times New Roman" w:hAnsi="Times New Roman" w:cs="Times New Roman"/>
      <w:b/>
      <w:bCs/>
      <w:i/>
      <w:iCs/>
      <w:smallCaps w:val="0"/>
      <w:strike w:val="0"/>
      <w:sz w:val="22"/>
      <w:szCs w:val="22"/>
      <w:u w:val="none"/>
    </w:rPr>
  </w:style>
  <w:style w:type="character" w:customStyle="1" w:styleId="12pt">
    <w:name w:val="Підпис до зображення + 12 pt"/>
    <w:basedOn w:val="a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uk-UA" w:eastAsia="uk-UA" w:bidi="uk-UA"/>
    </w:rPr>
  </w:style>
  <w:style w:type="character" w:customStyle="1" w:styleId="2">
    <w:name w:val="Основни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14pt">
    <w:name w:val="Основний текст (2) + 14 pt;Напівжирни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character" w:customStyle="1" w:styleId="71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uk-UA" w:eastAsia="uk-UA" w:bidi="uk-UA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72">
    <w:name w:val="Основний текст (7)"/>
    <w:basedOn w:val="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uk-UA" w:eastAsia="uk-UA" w:bidi="uk-UA"/>
    </w:rPr>
  </w:style>
  <w:style w:type="paragraph" w:customStyle="1" w:styleId="30">
    <w:name w:val="Основний текст (3)"/>
    <w:basedOn w:val="a"/>
    <w:link w:val="3"/>
    <w:pPr>
      <w:shd w:val="clear" w:color="auto" w:fill="FFFFFF"/>
      <w:spacing w:line="600" w:lineRule="exact"/>
      <w:jc w:val="center"/>
    </w:pPr>
    <w:rPr>
      <w:rFonts w:ascii="Times New Roman" w:eastAsia="Times New Roman" w:hAnsi="Times New Roman" w:cs="Times New Roman"/>
      <w:b/>
      <w:bCs/>
      <w:sz w:val="52"/>
      <w:szCs w:val="52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70">
    <w:name w:val="Основний текст (7)"/>
    <w:basedOn w:val="a"/>
    <w:link w:val="7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80">
    <w:name w:val="Основни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Times New Roman" w:eastAsia="Times New Roman" w:hAnsi="Times New Roman" w:cs="Times New Roman"/>
      <w:sz w:val="9"/>
      <w:szCs w:val="9"/>
    </w:rPr>
  </w:style>
  <w:style w:type="paragraph" w:customStyle="1" w:styleId="a7">
    <w:name w:val="Підпис до зображення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i/>
      <w:iCs/>
      <w:sz w:val="22"/>
      <w:szCs w:val="22"/>
    </w:rPr>
  </w:style>
  <w:style w:type="paragraph" w:customStyle="1" w:styleId="20">
    <w:name w:val="Основний текст (2)"/>
    <w:basedOn w:val="a"/>
    <w:link w:val="2"/>
    <w:pPr>
      <w:shd w:val="clear" w:color="auto" w:fill="FFFFFF"/>
      <w:spacing w:line="350" w:lineRule="exact"/>
      <w:ind w:hanging="540"/>
      <w:jc w:val="both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336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8">
    <w:name w:val="No Spacing"/>
    <w:uiPriority w:val="1"/>
    <w:qFormat/>
    <w:rsid w:val="00AE2A85"/>
    <w:rPr>
      <w:color w:val="000000"/>
    </w:rPr>
  </w:style>
  <w:style w:type="paragraph" w:styleId="a9">
    <w:name w:val="List Paragraph"/>
    <w:basedOn w:val="a"/>
    <w:uiPriority w:val="34"/>
    <w:qFormat/>
    <w:rsid w:val="00AE2A85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45253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5253A"/>
    <w:rPr>
      <w:rFonts w:ascii="Tahoma" w:hAnsi="Tahoma" w:cs="Tahoma"/>
      <w:color w:val="000000"/>
      <w:sz w:val="16"/>
      <w:szCs w:val="16"/>
    </w:rPr>
  </w:style>
  <w:style w:type="table" w:styleId="ac">
    <w:name w:val="Table Grid"/>
    <w:basedOn w:val="a1"/>
    <w:uiPriority w:val="59"/>
    <w:rsid w:val="002D0B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60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68261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580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912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8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nteroffice\Desktop\&#1051;&#1080;&#1089;&#1090;%20Microsoft%20Excel%20(2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1"/>
    </mc:Choice>
    <mc:Fallback>
      <c:style val="1"/>
    </mc:Fallback>
  </mc:AlternateContent>
  <c:chart>
    <c:autoTitleDeleted val="1"/>
    <c:plotArea>
      <c:layout/>
      <c:lineChart>
        <c:grouping val="stacked"/>
        <c:varyColors val="0"/>
        <c:ser>
          <c:idx val="1"/>
          <c:order val="0"/>
          <c:tx>
            <c:v>Кількість студентів</c:v>
          </c:tx>
          <c:dLbls>
            <c:txPr>
              <a:bodyPr/>
              <a:lstStyle/>
              <a:p>
                <a:pPr>
                  <a:defRPr>
                    <a:latin typeface="Times New Roman" pitchFamily="18" charset="0"/>
                    <a:cs typeface="Times New Roman" pitchFamily="18" charset="0"/>
                  </a:defRPr>
                </a:pPr>
                <a:endParaRPr lang="uk-UA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Лист1!$A$2:$A$9</c:f>
              <c:numCache>
                <c:formatCode>General</c:formatCode>
                <c:ptCount val="8"/>
                <c:pt idx="0">
                  <c:v>2009</c:v>
                </c:pt>
                <c:pt idx="1">
                  <c:v>2010</c:v>
                </c:pt>
                <c:pt idx="2">
                  <c:v>2011</c:v>
                </c:pt>
                <c:pt idx="3">
                  <c:v>2012</c:v>
                </c:pt>
                <c:pt idx="4">
                  <c:v>2013</c:v>
                </c:pt>
                <c:pt idx="5">
                  <c:v>2014</c:v>
                </c:pt>
                <c:pt idx="6">
                  <c:v>2015</c:v>
                </c:pt>
                <c:pt idx="7">
                  <c:v>2016</c:v>
                </c:pt>
              </c:numCache>
            </c:num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130</c:v>
                </c:pt>
                <c:pt idx="1">
                  <c:v>93</c:v>
                </c:pt>
                <c:pt idx="2">
                  <c:v>131</c:v>
                </c:pt>
                <c:pt idx="3">
                  <c:v>103</c:v>
                </c:pt>
                <c:pt idx="4">
                  <c:v>77</c:v>
                </c:pt>
                <c:pt idx="5">
                  <c:v>39</c:v>
                </c:pt>
                <c:pt idx="6">
                  <c:v>65</c:v>
                </c:pt>
                <c:pt idx="7">
                  <c:v>89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269846784"/>
        <c:axId val="269848576"/>
      </c:lineChart>
      <c:catAx>
        <c:axId val="26984678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69848576"/>
        <c:crosses val="autoZero"/>
        <c:auto val="1"/>
        <c:lblAlgn val="ctr"/>
        <c:lblOffset val="100"/>
        <c:noMultiLvlLbl val="0"/>
      </c:catAx>
      <c:valAx>
        <c:axId val="269848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uk-UA"/>
          </a:p>
        </c:txPr>
        <c:crossAx val="269846784"/>
        <c:crosses val="autoZero"/>
        <c:crossBetween val="between"/>
      </c:valAx>
    </c:plotArea>
    <c:plotVisOnly val="1"/>
    <c:dispBlanksAs val="zero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DB382-BF00-460A-8C4A-0FA61C7E7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675</TotalTime>
  <Pages>8</Pages>
  <Words>7865</Words>
  <Characters>4484</Characters>
  <Application>Microsoft Office Word</Application>
  <DocSecurity>0</DocSecurity>
  <Lines>37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interoffice</cp:lastModifiedBy>
  <cp:revision>12</cp:revision>
  <dcterms:created xsi:type="dcterms:W3CDTF">2015-12-24T08:22:00Z</dcterms:created>
  <dcterms:modified xsi:type="dcterms:W3CDTF">2016-12-07T08:16:00Z</dcterms:modified>
</cp:coreProperties>
</file>